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b/>
          <w:bCs/>
          <w:sz w:val="30"/>
          <w:szCs w:val="30"/>
          <w:lang w:val="en-US"/>
        </w:rPr>
        <w:t>通化市征收农用地区片综合地价分</w:t>
      </w:r>
      <w:r>
        <w:rPr>
          <w:b/>
          <w:sz w:val="30"/>
          <w:szCs w:val="30"/>
          <w:lang w:val="en-US" w:bidi="ar-SA"/>
        </w:rPr>
        <w:drawing>
          <wp:inline distT="0" distB="0" distL="114300" distR="114300">
            <wp:extent cx="5253355" cy="8114665"/>
            <wp:effectExtent l="0" t="0" r="4445" b="635"/>
            <wp:docPr id="2" name="图片 1" descr="通化地区区片价图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通化地区区片价图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811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2020-12-16T06:43:23Z</dcterms:created>
  <dc:creator>49676</dc:creator>
  <cp:lastModifiedBy>Echo</cp:lastModifiedBy>
  <dcterms:modified xsi:type="dcterms:W3CDTF">2020-12-16T06:43:30Z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