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tabs>
          <w:tab w:val="right" w:leader="dot" w:pos="8845"/>
        </w:tabs>
        <w:snapToGrid w:val="0"/>
        <w:spacing w:line="500" w:lineRule="exact"/>
        <w:jc w:val="center"/>
        <w:rPr>
          <w:rFonts w:hint="eastAsia" w:ascii="方正小标宋简体" w:hAnsi="黑体" w:eastAsia="方正小标宋简体" w:cs="黑体"/>
          <w:sz w:val="44"/>
          <w:szCs w:val="44"/>
          <w:lang w:eastAsia="zh-CN"/>
        </w:rPr>
      </w:pPr>
      <w:r>
        <w:rPr>
          <w:rFonts w:hint="eastAsia" w:ascii="方正小标宋简体" w:hAnsi="黑体" w:eastAsia="方正小标宋简体" w:cs="黑体"/>
          <w:sz w:val="44"/>
          <w:szCs w:val="44"/>
          <w:lang w:eastAsia="zh-CN"/>
        </w:rPr>
        <w:t>通化市大面积停电事件应急预案</w:t>
      </w:r>
    </w:p>
    <w:p>
      <w:pPr>
        <w:pStyle w:val="15"/>
        <w:widowControl/>
        <w:spacing w:line="480" w:lineRule="exact"/>
        <w:jc w:val="center"/>
        <w:rPr>
          <w:rFonts w:hint="eastAsia" w:ascii="方正小标宋简体" w:hAnsi="方正小标宋简体" w:eastAsia="方正小标宋简体" w:cs="方正小标宋简体"/>
          <w:sz w:val="44"/>
          <w:szCs w:val="44"/>
          <w:highlight w:val="none"/>
          <w:shd w:val="clear" w:color="auto" w:fill="FFFFFF"/>
          <w:lang w:eastAsia="zh-CN"/>
        </w:rPr>
      </w:pPr>
      <w:r>
        <w:rPr>
          <w:rFonts w:hint="eastAsia" w:ascii="方正小标宋简体" w:hAnsi="方正小标宋简体" w:eastAsia="方正小标宋简体" w:cs="方正小标宋简体"/>
          <w:sz w:val="44"/>
          <w:szCs w:val="44"/>
          <w:highlight w:val="none"/>
          <w:shd w:val="clear" w:color="auto" w:fill="FFFFFF"/>
          <w:lang w:eastAsia="zh-CN"/>
        </w:rPr>
        <w:t>（征求意见稿）</w:t>
      </w:r>
    </w:p>
    <w:p>
      <w:pPr>
        <w:pStyle w:val="13"/>
        <w:tabs>
          <w:tab w:val="right" w:leader="dot" w:pos="8845"/>
        </w:tabs>
        <w:snapToGrid w:val="0"/>
        <w:spacing w:line="500" w:lineRule="exact"/>
        <w:rPr>
          <w:sz w:val="28"/>
          <w:szCs w:val="28"/>
        </w:rPr>
      </w:pPr>
      <w:r>
        <w:rPr>
          <w:rFonts w:hint="eastAsia"/>
          <w:sz w:val="28"/>
          <w:szCs w:val="28"/>
        </w:rPr>
        <w:fldChar w:fldCharType="begin"/>
      </w:r>
      <w:r>
        <w:rPr>
          <w:rFonts w:hint="eastAsia"/>
          <w:sz w:val="28"/>
          <w:szCs w:val="28"/>
        </w:rPr>
        <w:instrText xml:space="preserve">TOC \o "1-3" \h \u </w:instrText>
      </w:r>
      <w:r>
        <w:rPr>
          <w:rFonts w:hint="eastAsia"/>
          <w:sz w:val="28"/>
          <w:szCs w:val="28"/>
        </w:rPr>
        <w:fldChar w:fldCharType="separate"/>
      </w:r>
      <w:r>
        <w:fldChar w:fldCharType="begin"/>
      </w:r>
      <w:r>
        <w:instrText xml:space="preserve"> HYPERLINK \l "_Toc2705" </w:instrText>
      </w:r>
      <w:r>
        <w:fldChar w:fldCharType="separate"/>
      </w:r>
      <w:r>
        <w:rPr>
          <w:rFonts w:hint="eastAsia" w:ascii="黑体" w:hAnsi="黑体" w:eastAsia="黑体" w:cs="黑体"/>
          <w:sz w:val="28"/>
          <w:szCs w:val="28"/>
        </w:rPr>
        <w:t>一、总则</w:t>
      </w:r>
      <w:r>
        <w:rPr>
          <w:sz w:val="28"/>
          <w:szCs w:val="28"/>
        </w:rPr>
        <w:tab/>
      </w:r>
      <w:r>
        <w:rPr>
          <w:sz w:val="28"/>
          <w:szCs w:val="28"/>
        </w:rPr>
        <w:fldChar w:fldCharType="begin"/>
      </w:r>
      <w:r>
        <w:rPr>
          <w:sz w:val="28"/>
          <w:szCs w:val="28"/>
        </w:rPr>
        <w:instrText xml:space="preserve"> PAGEREF _Toc2705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14"/>
        <w:tabs>
          <w:tab w:val="right" w:leader="dot" w:pos="8845"/>
        </w:tabs>
        <w:snapToGrid w:val="0"/>
        <w:spacing w:line="500" w:lineRule="exact"/>
        <w:ind w:left="0" w:leftChars="0" w:firstLine="480" w:firstLineChars="150"/>
        <w:rPr>
          <w:sz w:val="28"/>
          <w:szCs w:val="28"/>
        </w:rPr>
      </w:pPr>
      <w:r>
        <w:fldChar w:fldCharType="begin"/>
      </w:r>
      <w:r>
        <w:instrText xml:space="preserve"> HYPERLINK \l "_Toc10757" </w:instrText>
      </w:r>
      <w:r>
        <w:fldChar w:fldCharType="separate"/>
      </w:r>
      <w:r>
        <w:rPr>
          <w:rFonts w:hint="eastAsia" w:ascii="楷体" w:hAnsi="楷体" w:eastAsia="楷体" w:cs="楷体"/>
          <w:sz w:val="28"/>
          <w:szCs w:val="28"/>
        </w:rPr>
        <w:t>（一）编制目的</w:t>
      </w:r>
      <w:r>
        <w:rPr>
          <w:sz w:val="28"/>
          <w:szCs w:val="28"/>
        </w:rPr>
        <w:tab/>
      </w:r>
      <w:r>
        <w:rPr>
          <w:sz w:val="28"/>
          <w:szCs w:val="28"/>
        </w:rPr>
        <w:fldChar w:fldCharType="begin"/>
      </w:r>
      <w:r>
        <w:rPr>
          <w:sz w:val="28"/>
          <w:szCs w:val="28"/>
        </w:rPr>
        <w:instrText xml:space="preserve"> PAGEREF _Toc10757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14"/>
        <w:tabs>
          <w:tab w:val="right" w:leader="dot" w:pos="8845"/>
        </w:tabs>
        <w:snapToGrid w:val="0"/>
        <w:spacing w:line="500" w:lineRule="exact"/>
        <w:ind w:left="0" w:leftChars="0" w:firstLine="480" w:firstLineChars="150"/>
        <w:rPr>
          <w:sz w:val="28"/>
          <w:szCs w:val="28"/>
        </w:rPr>
      </w:pPr>
      <w:r>
        <w:fldChar w:fldCharType="begin"/>
      </w:r>
      <w:r>
        <w:instrText xml:space="preserve"> HYPERLINK \l "_Toc1054" </w:instrText>
      </w:r>
      <w:r>
        <w:fldChar w:fldCharType="separate"/>
      </w:r>
      <w:r>
        <w:rPr>
          <w:rFonts w:hint="eastAsia" w:ascii="楷体" w:hAnsi="楷体" w:eastAsia="楷体" w:cs="楷体"/>
          <w:sz w:val="28"/>
          <w:szCs w:val="28"/>
        </w:rPr>
        <w:t>（二）编制依据</w:t>
      </w:r>
      <w:r>
        <w:rPr>
          <w:sz w:val="28"/>
          <w:szCs w:val="28"/>
        </w:rPr>
        <w:tab/>
      </w:r>
      <w:r>
        <w:rPr>
          <w:sz w:val="28"/>
          <w:szCs w:val="28"/>
        </w:rPr>
        <w:fldChar w:fldCharType="begin"/>
      </w:r>
      <w:r>
        <w:rPr>
          <w:sz w:val="28"/>
          <w:szCs w:val="28"/>
        </w:rPr>
        <w:instrText xml:space="preserve"> PAGEREF _Toc1054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14"/>
        <w:tabs>
          <w:tab w:val="right" w:leader="dot" w:pos="8845"/>
        </w:tabs>
        <w:snapToGrid w:val="0"/>
        <w:spacing w:line="500" w:lineRule="exact"/>
        <w:ind w:left="0" w:leftChars="0" w:firstLine="480" w:firstLineChars="150"/>
        <w:rPr>
          <w:sz w:val="28"/>
          <w:szCs w:val="28"/>
        </w:rPr>
      </w:pPr>
      <w:r>
        <w:fldChar w:fldCharType="begin"/>
      </w:r>
      <w:r>
        <w:instrText xml:space="preserve"> HYPERLINK \l "_Toc30052" </w:instrText>
      </w:r>
      <w:r>
        <w:fldChar w:fldCharType="separate"/>
      </w:r>
      <w:r>
        <w:rPr>
          <w:rFonts w:hint="eastAsia" w:ascii="楷体" w:hAnsi="楷体" w:eastAsia="楷体" w:cs="楷体"/>
          <w:sz w:val="28"/>
          <w:szCs w:val="28"/>
        </w:rPr>
        <w:t>（三）适用范围</w:t>
      </w:r>
      <w:r>
        <w:rPr>
          <w:sz w:val="28"/>
          <w:szCs w:val="28"/>
        </w:rPr>
        <w:tab/>
      </w:r>
      <w:r>
        <w:rPr>
          <w:sz w:val="28"/>
          <w:szCs w:val="28"/>
        </w:rPr>
        <w:fldChar w:fldCharType="begin"/>
      </w:r>
      <w:r>
        <w:rPr>
          <w:sz w:val="28"/>
          <w:szCs w:val="28"/>
        </w:rPr>
        <w:instrText xml:space="preserve"> PAGEREF _Toc30052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14"/>
        <w:tabs>
          <w:tab w:val="right" w:leader="dot" w:pos="8845"/>
        </w:tabs>
        <w:snapToGrid w:val="0"/>
        <w:spacing w:line="500" w:lineRule="exact"/>
        <w:ind w:left="0" w:leftChars="0" w:firstLine="480" w:firstLineChars="150"/>
        <w:rPr>
          <w:sz w:val="28"/>
          <w:szCs w:val="28"/>
        </w:rPr>
      </w:pPr>
      <w:r>
        <w:fldChar w:fldCharType="begin"/>
      </w:r>
      <w:r>
        <w:instrText xml:space="preserve"> HYPERLINK \l "_Toc26644" </w:instrText>
      </w:r>
      <w:r>
        <w:fldChar w:fldCharType="separate"/>
      </w:r>
      <w:r>
        <w:rPr>
          <w:rFonts w:hint="eastAsia" w:ascii="楷体" w:hAnsi="楷体" w:eastAsia="楷体" w:cs="楷体"/>
          <w:sz w:val="28"/>
          <w:szCs w:val="28"/>
        </w:rPr>
        <w:t>（四）工作原则</w:t>
      </w:r>
      <w:r>
        <w:rPr>
          <w:sz w:val="28"/>
          <w:szCs w:val="28"/>
        </w:rPr>
        <w:tab/>
      </w:r>
      <w:r>
        <w:rPr>
          <w:sz w:val="28"/>
          <w:szCs w:val="28"/>
        </w:rPr>
        <w:fldChar w:fldCharType="begin"/>
      </w:r>
      <w:r>
        <w:rPr>
          <w:sz w:val="28"/>
          <w:szCs w:val="28"/>
        </w:rPr>
        <w:instrText xml:space="preserve"> PAGEREF _Toc26644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14"/>
        <w:tabs>
          <w:tab w:val="right" w:leader="dot" w:pos="8845"/>
        </w:tabs>
        <w:snapToGrid w:val="0"/>
        <w:spacing w:line="500" w:lineRule="exact"/>
        <w:ind w:left="0" w:leftChars="0" w:firstLine="480" w:firstLineChars="150"/>
        <w:rPr>
          <w:sz w:val="28"/>
          <w:szCs w:val="28"/>
        </w:rPr>
      </w:pPr>
      <w:r>
        <w:fldChar w:fldCharType="begin"/>
      </w:r>
      <w:r>
        <w:instrText xml:space="preserve"> HYPERLINK \l "_Toc11502" </w:instrText>
      </w:r>
      <w:r>
        <w:fldChar w:fldCharType="separate"/>
      </w:r>
      <w:r>
        <w:rPr>
          <w:rFonts w:hint="eastAsia" w:ascii="楷体" w:hAnsi="楷体" w:eastAsia="楷体" w:cs="楷体"/>
          <w:sz w:val="28"/>
          <w:szCs w:val="28"/>
        </w:rPr>
        <w:t>（五）事件分级</w:t>
      </w:r>
      <w:r>
        <w:rPr>
          <w:rFonts w:hint="eastAsia" w:ascii="楷体" w:hAnsi="楷体" w:eastAsia="楷体" w:cs="楷体"/>
          <w:sz w:val="28"/>
          <w:szCs w:val="28"/>
          <w:lang w:eastAsia="zh-CN"/>
        </w:rPr>
        <w:t>与分级应对</w:t>
      </w:r>
      <w:r>
        <w:rPr>
          <w:sz w:val="28"/>
          <w:szCs w:val="28"/>
        </w:rPr>
        <w:tab/>
      </w:r>
      <w:r>
        <w:rPr>
          <w:sz w:val="28"/>
          <w:szCs w:val="28"/>
        </w:rPr>
        <w:fldChar w:fldCharType="begin"/>
      </w:r>
      <w:r>
        <w:rPr>
          <w:sz w:val="28"/>
          <w:szCs w:val="28"/>
        </w:rPr>
        <w:instrText xml:space="preserve"> PAGEREF _Toc11502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14"/>
        <w:tabs>
          <w:tab w:val="right" w:leader="dot" w:pos="8845"/>
        </w:tabs>
        <w:snapToGrid w:val="0"/>
        <w:spacing w:line="500" w:lineRule="exact"/>
        <w:ind w:left="0" w:leftChars="0" w:firstLine="480" w:firstLineChars="150"/>
        <w:rPr>
          <w:sz w:val="28"/>
          <w:szCs w:val="28"/>
        </w:rPr>
      </w:pPr>
      <w:r>
        <w:fldChar w:fldCharType="begin"/>
      </w:r>
      <w:r>
        <w:instrText xml:space="preserve"> HYPERLINK \l "_Toc30284" </w:instrText>
      </w:r>
      <w:r>
        <w:fldChar w:fldCharType="separate"/>
      </w:r>
      <w:r>
        <w:rPr>
          <w:rFonts w:hint="eastAsia" w:ascii="楷体" w:hAnsi="楷体" w:eastAsia="楷体" w:cs="楷体"/>
          <w:sz w:val="28"/>
          <w:szCs w:val="28"/>
        </w:rPr>
        <w:t>（六）预案体系</w:t>
      </w:r>
      <w:r>
        <w:rPr>
          <w:sz w:val="28"/>
          <w:szCs w:val="28"/>
        </w:rPr>
        <w:tab/>
      </w:r>
      <w:r>
        <w:rPr>
          <w:sz w:val="28"/>
          <w:szCs w:val="28"/>
        </w:rPr>
        <w:fldChar w:fldCharType="begin"/>
      </w:r>
      <w:r>
        <w:rPr>
          <w:sz w:val="28"/>
          <w:szCs w:val="28"/>
        </w:rPr>
        <w:instrText xml:space="preserve"> PAGEREF _Toc30284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13"/>
        <w:tabs>
          <w:tab w:val="right" w:leader="dot" w:pos="8845"/>
        </w:tabs>
        <w:snapToGrid w:val="0"/>
        <w:spacing w:line="500" w:lineRule="exact"/>
        <w:rPr>
          <w:sz w:val="28"/>
          <w:szCs w:val="28"/>
        </w:rPr>
      </w:pPr>
      <w:r>
        <w:fldChar w:fldCharType="begin"/>
      </w:r>
      <w:r>
        <w:instrText xml:space="preserve"> HYPERLINK \l "_Toc18014" </w:instrText>
      </w:r>
      <w:r>
        <w:fldChar w:fldCharType="separate"/>
      </w:r>
      <w:r>
        <w:rPr>
          <w:rFonts w:hint="eastAsia" w:ascii="黑体" w:hAnsi="黑体" w:eastAsia="黑体" w:cs="黑体"/>
          <w:sz w:val="28"/>
          <w:szCs w:val="28"/>
        </w:rPr>
        <w:t>二、组织体系及职责</w:t>
      </w:r>
      <w:r>
        <w:rPr>
          <w:sz w:val="28"/>
          <w:szCs w:val="28"/>
        </w:rPr>
        <w:tab/>
      </w:r>
      <w:r>
        <w:rPr>
          <w:sz w:val="28"/>
          <w:szCs w:val="28"/>
        </w:rPr>
        <w:fldChar w:fldCharType="begin"/>
      </w:r>
      <w:r>
        <w:rPr>
          <w:sz w:val="28"/>
          <w:szCs w:val="28"/>
        </w:rPr>
        <w:instrText xml:space="preserve"> PAGEREF _Toc18014 \h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14"/>
        <w:tabs>
          <w:tab w:val="right" w:leader="dot" w:pos="8845"/>
        </w:tabs>
        <w:snapToGrid w:val="0"/>
        <w:spacing w:line="500" w:lineRule="exact"/>
        <w:ind w:left="0" w:leftChars="0" w:firstLine="480" w:firstLineChars="150"/>
        <w:rPr>
          <w:sz w:val="28"/>
          <w:szCs w:val="28"/>
        </w:rPr>
      </w:pPr>
      <w:r>
        <w:fldChar w:fldCharType="begin"/>
      </w:r>
      <w:r>
        <w:instrText xml:space="preserve"> HYPERLINK \l "_Toc13781" </w:instrText>
      </w:r>
      <w:r>
        <w:fldChar w:fldCharType="separate"/>
      </w:r>
      <w:r>
        <w:rPr>
          <w:rFonts w:hint="eastAsia" w:ascii="楷体" w:hAnsi="楷体" w:eastAsia="楷体" w:cs="楷体"/>
          <w:sz w:val="28"/>
          <w:szCs w:val="28"/>
        </w:rPr>
        <w:t>（一）市级组织指挥机构</w:t>
      </w:r>
      <w:r>
        <w:rPr>
          <w:sz w:val="28"/>
          <w:szCs w:val="28"/>
        </w:rPr>
        <w:tab/>
      </w:r>
      <w:r>
        <w:rPr>
          <w:sz w:val="28"/>
          <w:szCs w:val="28"/>
        </w:rPr>
        <w:fldChar w:fldCharType="begin"/>
      </w:r>
      <w:r>
        <w:rPr>
          <w:sz w:val="28"/>
          <w:szCs w:val="28"/>
        </w:rPr>
        <w:instrText xml:space="preserve"> PAGEREF _Toc13781 \h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14"/>
        <w:tabs>
          <w:tab w:val="right" w:leader="dot" w:pos="8845"/>
        </w:tabs>
        <w:snapToGrid w:val="0"/>
        <w:spacing w:line="500" w:lineRule="exact"/>
        <w:ind w:left="0" w:leftChars="0" w:firstLine="480" w:firstLineChars="150"/>
        <w:rPr>
          <w:sz w:val="28"/>
          <w:szCs w:val="28"/>
        </w:rPr>
      </w:pPr>
      <w:r>
        <w:fldChar w:fldCharType="begin"/>
      </w:r>
      <w:r>
        <w:instrText xml:space="preserve"> HYPERLINK \l "_Toc9302" </w:instrText>
      </w:r>
      <w:r>
        <w:fldChar w:fldCharType="separate"/>
      </w:r>
      <w:r>
        <w:rPr>
          <w:rFonts w:hint="eastAsia" w:ascii="楷体" w:hAnsi="楷体" w:eastAsia="楷体" w:cs="楷体"/>
          <w:sz w:val="28"/>
          <w:szCs w:val="28"/>
        </w:rPr>
        <w:t>（二）县（市）区级</w:t>
      </w:r>
      <w:r>
        <w:rPr>
          <w:rFonts w:hint="eastAsia" w:ascii="楷体" w:hAnsi="楷体" w:eastAsia="楷体" w:cs="楷体"/>
          <w:sz w:val="28"/>
          <w:szCs w:val="28"/>
          <w:lang w:eastAsia="zh-CN"/>
        </w:rPr>
        <w:t>及以下</w:t>
      </w:r>
      <w:r>
        <w:rPr>
          <w:rFonts w:hint="eastAsia" w:ascii="楷体" w:hAnsi="楷体" w:eastAsia="楷体" w:cs="楷体"/>
          <w:sz w:val="28"/>
          <w:szCs w:val="28"/>
        </w:rPr>
        <w:t>组织指挥机构</w:t>
      </w:r>
      <w:r>
        <w:rPr>
          <w:sz w:val="28"/>
          <w:szCs w:val="28"/>
        </w:rPr>
        <w:tab/>
      </w:r>
      <w:r>
        <w:rPr>
          <w:sz w:val="28"/>
          <w:szCs w:val="28"/>
        </w:rPr>
        <w:fldChar w:fldCharType="begin"/>
      </w:r>
      <w:r>
        <w:rPr>
          <w:sz w:val="28"/>
          <w:szCs w:val="28"/>
        </w:rPr>
        <w:instrText xml:space="preserve"> PAGEREF _Toc9302 \h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14"/>
        <w:tabs>
          <w:tab w:val="right" w:leader="dot" w:pos="8845"/>
        </w:tabs>
        <w:snapToGrid w:val="0"/>
        <w:spacing w:line="500" w:lineRule="exact"/>
        <w:ind w:left="0" w:leftChars="0" w:firstLine="480" w:firstLineChars="150"/>
        <w:rPr>
          <w:sz w:val="28"/>
          <w:szCs w:val="28"/>
        </w:rPr>
      </w:pPr>
      <w:r>
        <w:fldChar w:fldCharType="begin"/>
      </w:r>
      <w:r>
        <w:instrText xml:space="preserve"> HYPERLINK \l "_Toc284" </w:instrText>
      </w:r>
      <w:r>
        <w:fldChar w:fldCharType="separate"/>
      </w:r>
      <w:r>
        <w:rPr>
          <w:rFonts w:hint="eastAsia" w:ascii="楷体" w:hAnsi="楷体" w:eastAsia="楷体" w:cs="楷体"/>
          <w:sz w:val="28"/>
          <w:szCs w:val="28"/>
        </w:rPr>
        <w:t>（三）现场指挥机构</w:t>
      </w:r>
      <w:r>
        <w:rPr>
          <w:sz w:val="28"/>
          <w:szCs w:val="28"/>
        </w:rPr>
        <w:tab/>
      </w:r>
      <w:r>
        <w:rPr>
          <w:sz w:val="28"/>
          <w:szCs w:val="28"/>
        </w:rPr>
        <w:fldChar w:fldCharType="begin"/>
      </w:r>
      <w:r>
        <w:rPr>
          <w:sz w:val="28"/>
          <w:szCs w:val="28"/>
        </w:rPr>
        <w:instrText xml:space="preserve"> PAGEREF _Toc284 \h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14"/>
        <w:tabs>
          <w:tab w:val="right" w:leader="dot" w:pos="8845"/>
        </w:tabs>
        <w:snapToGrid w:val="0"/>
        <w:spacing w:line="500" w:lineRule="exact"/>
        <w:ind w:left="0" w:leftChars="0" w:firstLine="480" w:firstLineChars="150"/>
        <w:rPr>
          <w:sz w:val="28"/>
          <w:szCs w:val="28"/>
        </w:rPr>
      </w:pPr>
      <w:r>
        <w:fldChar w:fldCharType="begin"/>
      </w:r>
      <w:r>
        <w:instrText xml:space="preserve"> HYPERLINK \l "_Toc22710" </w:instrText>
      </w:r>
      <w:r>
        <w:fldChar w:fldCharType="separate"/>
      </w:r>
      <w:r>
        <w:rPr>
          <w:rFonts w:hint="eastAsia" w:ascii="楷体" w:hAnsi="楷体" w:eastAsia="楷体" w:cs="楷体"/>
          <w:sz w:val="28"/>
          <w:szCs w:val="28"/>
        </w:rPr>
        <w:t>（四）电力企业</w:t>
      </w:r>
      <w:r>
        <w:rPr>
          <w:sz w:val="28"/>
          <w:szCs w:val="28"/>
        </w:rPr>
        <w:tab/>
      </w:r>
      <w:r>
        <w:rPr>
          <w:sz w:val="28"/>
          <w:szCs w:val="28"/>
        </w:rPr>
        <w:fldChar w:fldCharType="begin"/>
      </w:r>
      <w:r>
        <w:rPr>
          <w:sz w:val="28"/>
          <w:szCs w:val="28"/>
        </w:rPr>
        <w:instrText xml:space="preserve"> PAGEREF _Toc22710 \h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14"/>
        <w:tabs>
          <w:tab w:val="right" w:leader="dot" w:pos="8845"/>
        </w:tabs>
        <w:snapToGrid w:val="0"/>
        <w:spacing w:line="500" w:lineRule="exact"/>
        <w:ind w:left="0" w:leftChars="0" w:firstLine="480" w:firstLineChars="150"/>
        <w:rPr>
          <w:sz w:val="28"/>
          <w:szCs w:val="28"/>
        </w:rPr>
      </w:pPr>
      <w:r>
        <w:fldChar w:fldCharType="begin"/>
      </w:r>
      <w:r>
        <w:instrText xml:space="preserve"> HYPERLINK \l "_Toc21718" </w:instrText>
      </w:r>
      <w:r>
        <w:fldChar w:fldCharType="separate"/>
      </w:r>
      <w:r>
        <w:rPr>
          <w:rFonts w:hint="eastAsia" w:ascii="楷体" w:hAnsi="楷体" w:eastAsia="楷体" w:cs="楷体"/>
          <w:sz w:val="28"/>
          <w:szCs w:val="28"/>
        </w:rPr>
        <w:t>（五）重要电力用户</w:t>
      </w:r>
      <w:r>
        <w:rPr>
          <w:sz w:val="28"/>
          <w:szCs w:val="28"/>
        </w:rPr>
        <w:tab/>
      </w:r>
      <w:r>
        <w:rPr>
          <w:sz w:val="28"/>
          <w:szCs w:val="28"/>
        </w:rPr>
        <w:fldChar w:fldCharType="begin"/>
      </w:r>
      <w:r>
        <w:rPr>
          <w:sz w:val="28"/>
          <w:szCs w:val="28"/>
        </w:rPr>
        <w:instrText xml:space="preserve"> PAGEREF _Toc21718 \h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14"/>
        <w:tabs>
          <w:tab w:val="right" w:leader="dot" w:pos="8845"/>
        </w:tabs>
        <w:snapToGrid w:val="0"/>
        <w:spacing w:line="500" w:lineRule="exact"/>
        <w:ind w:left="0" w:leftChars="0" w:firstLine="480" w:firstLineChars="150"/>
        <w:rPr>
          <w:sz w:val="28"/>
          <w:szCs w:val="28"/>
        </w:rPr>
      </w:pPr>
      <w:r>
        <w:fldChar w:fldCharType="begin"/>
      </w:r>
      <w:r>
        <w:instrText xml:space="preserve"> HYPERLINK \l "_Toc12702" </w:instrText>
      </w:r>
      <w:r>
        <w:fldChar w:fldCharType="separate"/>
      </w:r>
      <w:r>
        <w:rPr>
          <w:rFonts w:hint="eastAsia" w:ascii="楷体" w:hAnsi="楷体" w:eastAsia="楷体" w:cs="楷体"/>
          <w:sz w:val="28"/>
          <w:szCs w:val="28"/>
        </w:rPr>
        <w:t>（六）专家组</w:t>
      </w:r>
      <w:r>
        <w:rPr>
          <w:sz w:val="28"/>
          <w:szCs w:val="28"/>
        </w:rPr>
        <w:tab/>
      </w:r>
      <w:r>
        <w:rPr>
          <w:sz w:val="28"/>
          <w:szCs w:val="28"/>
        </w:rPr>
        <w:fldChar w:fldCharType="begin"/>
      </w:r>
      <w:r>
        <w:rPr>
          <w:sz w:val="28"/>
          <w:szCs w:val="28"/>
        </w:rPr>
        <w:instrText xml:space="preserve"> PAGEREF _Toc12702 \h </w:instrText>
      </w:r>
      <w:r>
        <w:rPr>
          <w:sz w:val="28"/>
          <w:szCs w:val="28"/>
        </w:rPr>
        <w:fldChar w:fldCharType="separate"/>
      </w:r>
      <w:r>
        <w:rPr>
          <w:sz w:val="28"/>
          <w:szCs w:val="28"/>
        </w:rPr>
        <w:t>5</w:t>
      </w:r>
      <w:r>
        <w:rPr>
          <w:sz w:val="28"/>
          <w:szCs w:val="28"/>
        </w:rPr>
        <w:fldChar w:fldCharType="end"/>
      </w:r>
      <w:r>
        <w:rPr>
          <w:sz w:val="28"/>
          <w:szCs w:val="28"/>
        </w:rPr>
        <w:fldChar w:fldCharType="end"/>
      </w:r>
    </w:p>
    <w:p>
      <w:pPr>
        <w:pStyle w:val="13"/>
        <w:tabs>
          <w:tab w:val="right" w:leader="dot" w:pos="8845"/>
        </w:tabs>
        <w:snapToGrid w:val="0"/>
        <w:spacing w:line="500" w:lineRule="exact"/>
        <w:rPr>
          <w:sz w:val="28"/>
          <w:szCs w:val="28"/>
        </w:rPr>
      </w:pPr>
      <w:r>
        <w:fldChar w:fldCharType="begin"/>
      </w:r>
      <w:r>
        <w:instrText xml:space="preserve"> HYPERLINK \l "_Toc23042" </w:instrText>
      </w:r>
      <w:r>
        <w:fldChar w:fldCharType="separate"/>
      </w:r>
      <w:r>
        <w:rPr>
          <w:rFonts w:hint="eastAsia" w:ascii="黑体" w:hAnsi="黑体" w:eastAsia="黑体" w:cs="黑体"/>
          <w:sz w:val="28"/>
          <w:szCs w:val="28"/>
        </w:rPr>
        <w:t>三、监测预警和信息报告</w:t>
      </w:r>
      <w:r>
        <w:rPr>
          <w:sz w:val="28"/>
          <w:szCs w:val="28"/>
        </w:rPr>
        <w:tab/>
      </w:r>
      <w:r>
        <w:rPr>
          <w:sz w:val="28"/>
          <w:szCs w:val="28"/>
        </w:rPr>
        <w:fldChar w:fldCharType="begin"/>
      </w:r>
      <w:r>
        <w:rPr>
          <w:sz w:val="28"/>
          <w:szCs w:val="28"/>
        </w:rPr>
        <w:instrText xml:space="preserve"> PAGEREF _Toc23042 \h </w:instrText>
      </w:r>
      <w:r>
        <w:rPr>
          <w:sz w:val="28"/>
          <w:szCs w:val="28"/>
        </w:rPr>
        <w:fldChar w:fldCharType="separate"/>
      </w:r>
      <w:r>
        <w:rPr>
          <w:sz w:val="28"/>
          <w:szCs w:val="28"/>
        </w:rPr>
        <w:t>5</w:t>
      </w:r>
      <w:r>
        <w:rPr>
          <w:sz w:val="28"/>
          <w:szCs w:val="28"/>
        </w:rPr>
        <w:fldChar w:fldCharType="end"/>
      </w:r>
      <w:r>
        <w:rPr>
          <w:sz w:val="28"/>
          <w:szCs w:val="28"/>
        </w:rPr>
        <w:fldChar w:fldCharType="end"/>
      </w:r>
    </w:p>
    <w:p>
      <w:pPr>
        <w:pStyle w:val="14"/>
        <w:tabs>
          <w:tab w:val="right" w:leader="dot" w:pos="8845"/>
        </w:tabs>
        <w:snapToGrid w:val="0"/>
        <w:spacing w:line="500" w:lineRule="exact"/>
        <w:ind w:left="0" w:leftChars="0" w:firstLine="480" w:firstLineChars="150"/>
        <w:rPr>
          <w:sz w:val="28"/>
          <w:szCs w:val="28"/>
        </w:rPr>
      </w:pPr>
      <w:r>
        <w:fldChar w:fldCharType="begin"/>
      </w:r>
      <w:r>
        <w:instrText xml:space="preserve"> HYPERLINK \l "_Toc19987" </w:instrText>
      </w:r>
      <w:r>
        <w:fldChar w:fldCharType="separate"/>
      </w:r>
      <w:r>
        <w:rPr>
          <w:rFonts w:hint="eastAsia" w:ascii="楷体" w:hAnsi="楷体" w:eastAsia="楷体" w:cs="楷体"/>
          <w:sz w:val="28"/>
          <w:szCs w:val="28"/>
        </w:rPr>
        <w:t>（一）风险分析</w:t>
      </w:r>
      <w:r>
        <w:rPr>
          <w:sz w:val="28"/>
          <w:szCs w:val="28"/>
        </w:rPr>
        <w:tab/>
      </w:r>
      <w:r>
        <w:rPr>
          <w:sz w:val="28"/>
          <w:szCs w:val="28"/>
        </w:rPr>
        <w:fldChar w:fldCharType="begin"/>
      </w:r>
      <w:r>
        <w:rPr>
          <w:sz w:val="28"/>
          <w:szCs w:val="28"/>
        </w:rPr>
        <w:instrText xml:space="preserve"> PAGEREF _Toc19987 \h </w:instrText>
      </w:r>
      <w:r>
        <w:rPr>
          <w:sz w:val="28"/>
          <w:szCs w:val="28"/>
        </w:rPr>
        <w:fldChar w:fldCharType="separate"/>
      </w:r>
      <w:r>
        <w:rPr>
          <w:sz w:val="28"/>
          <w:szCs w:val="28"/>
        </w:rPr>
        <w:t>5</w:t>
      </w:r>
      <w:r>
        <w:rPr>
          <w:sz w:val="28"/>
          <w:szCs w:val="28"/>
        </w:rPr>
        <w:fldChar w:fldCharType="end"/>
      </w:r>
      <w:r>
        <w:rPr>
          <w:sz w:val="28"/>
          <w:szCs w:val="28"/>
        </w:rPr>
        <w:fldChar w:fldCharType="end"/>
      </w:r>
    </w:p>
    <w:p>
      <w:pPr>
        <w:pStyle w:val="14"/>
        <w:tabs>
          <w:tab w:val="right" w:leader="dot" w:pos="8845"/>
        </w:tabs>
        <w:snapToGrid w:val="0"/>
        <w:spacing w:line="500" w:lineRule="exact"/>
        <w:ind w:left="0" w:leftChars="0" w:firstLine="480" w:firstLineChars="150"/>
        <w:rPr>
          <w:sz w:val="28"/>
          <w:szCs w:val="28"/>
        </w:rPr>
      </w:pPr>
      <w:r>
        <w:fldChar w:fldCharType="begin"/>
      </w:r>
      <w:r>
        <w:instrText xml:space="preserve"> HYPERLINK \l "_Toc6404" </w:instrText>
      </w:r>
      <w:r>
        <w:fldChar w:fldCharType="separate"/>
      </w:r>
      <w:r>
        <w:rPr>
          <w:rFonts w:hint="eastAsia" w:ascii="楷体" w:hAnsi="楷体" w:eastAsia="楷体" w:cs="楷体"/>
          <w:sz w:val="28"/>
          <w:szCs w:val="28"/>
        </w:rPr>
        <w:t>（二）危害程度分析</w:t>
      </w:r>
      <w:r>
        <w:rPr>
          <w:sz w:val="28"/>
          <w:szCs w:val="28"/>
        </w:rPr>
        <w:tab/>
      </w:r>
      <w:r>
        <w:rPr>
          <w:sz w:val="28"/>
          <w:szCs w:val="28"/>
        </w:rPr>
        <w:fldChar w:fldCharType="begin"/>
      </w:r>
      <w:r>
        <w:rPr>
          <w:sz w:val="28"/>
          <w:szCs w:val="28"/>
        </w:rPr>
        <w:instrText xml:space="preserve"> PAGEREF _Toc6404 \h </w:instrText>
      </w:r>
      <w:r>
        <w:rPr>
          <w:sz w:val="28"/>
          <w:szCs w:val="28"/>
        </w:rPr>
        <w:fldChar w:fldCharType="separate"/>
      </w:r>
      <w:r>
        <w:rPr>
          <w:sz w:val="28"/>
          <w:szCs w:val="28"/>
        </w:rPr>
        <w:t>7</w:t>
      </w:r>
      <w:r>
        <w:rPr>
          <w:sz w:val="28"/>
          <w:szCs w:val="28"/>
        </w:rPr>
        <w:fldChar w:fldCharType="end"/>
      </w:r>
      <w:r>
        <w:rPr>
          <w:sz w:val="28"/>
          <w:szCs w:val="28"/>
        </w:rPr>
        <w:fldChar w:fldCharType="end"/>
      </w:r>
    </w:p>
    <w:p>
      <w:pPr>
        <w:pStyle w:val="14"/>
        <w:tabs>
          <w:tab w:val="right" w:leader="dot" w:pos="8845"/>
        </w:tabs>
        <w:snapToGrid w:val="0"/>
        <w:spacing w:line="500" w:lineRule="exact"/>
        <w:ind w:left="0" w:leftChars="0" w:firstLine="480" w:firstLineChars="150"/>
        <w:rPr>
          <w:sz w:val="28"/>
          <w:szCs w:val="28"/>
        </w:rPr>
      </w:pPr>
      <w:r>
        <w:fldChar w:fldCharType="begin"/>
      </w:r>
      <w:r>
        <w:instrText xml:space="preserve"> HYPERLINK \l "_Toc24148" </w:instrText>
      </w:r>
      <w:r>
        <w:fldChar w:fldCharType="separate"/>
      </w:r>
      <w:r>
        <w:rPr>
          <w:rFonts w:hint="eastAsia" w:ascii="楷体" w:hAnsi="楷体" w:eastAsia="楷体" w:cs="楷体"/>
          <w:sz w:val="28"/>
          <w:szCs w:val="28"/>
        </w:rPr>
        <w:t>（三）监测</w:t>
      </w:r>
      <w:r>
        <w:rPr>
          <w:sz w:val="28"/>
          <w:szCs w:val="28"/>
        </w:rPr>
        <w:tab/>
      </w:r>
      <w:r>
        <w:rPr>
          <w:sz w:val="28"/>
          <w:szCs w:val="28"/>
        </w:rPr>
        <w:fldChar w:fldCharType="begin"/>
      </w:r>
      <w:r>
        <w:rPr>
          <w:sz w:val="28"/>
          <w:szCs w:val="28"/>
        </w:rPr>
        <w:instrText xml:space="preserve"> PAGEREF _Toc24148 \h </w:instrText>
      </w:r>
      <w:r>
        <w:rPr>
          <w:sz w:val="28"/>
          <w:szCs w:val="28"/>
        </w:rPr>
        <w:fldChar w:fldCharType="separate"/>
      </w:r>
      <w:r>
        <w:rPr>
          <w:sz w:val="28"/>
          <w:szCs w:val="28"/>
        </w:rPr>
        <w:t>8</w:t>
      </w:r>
      <w:r>
        <w:rPr>
          <w:sz w:val="28"/>
          <w:szCs w:val="28"/>
        </w:rPr>
        <w:fldChar w:fldCharType="end"/>
      </w:r>
      <w:r>
        <w:rPr>
          <w:sz w:val="28"/>
          <w:szCs w:val="28"/>
        </w:rPr>
        <w:fldChar w:fldCharType="end"/>
      </w:r>
    </w:p>
    <w:p>
      <w:pPr>
        <w:pStyle w:val="14"/>
        <w:tabs>
          <w:tab w:val="right" w:leader="dot" w:pos="8845"/>
        </w:tabs>
        <w:snapToGrid w:val="0"/>
        <w:spacing w:line="500" w:lineRule="exact"/>
        <w:ind w:left="0" w:leftChars="0" w:firstLine="480" w:firstLineChars="150"/>
        <w:rPr>
          <w:sz w:val="28"/>
          <w:szCs w:val="28"/>
        </w:rPr>
      </w:pPr>
      <w:r>
        <w:fldChar w:fldCharType="begin"/>
      </w:r>
      <w:r>
        <w:instrText xml:space="preserve"> HYPERLINK \l "_Toc11949" </w:instrText>
      </w:r>
      <w:r>
        <w:fldChar w:fldCharType="separate"/>
      </w:r>
      <w:r>
        <w:rPr>
          <w:rFonts w:hint="eastAsia" w:ascii="楷体" w:hAnsi="楷体" w:eastAsia="楷体" w:cs="楷体"/>
          <w:sz w:val="28"/>
          <w:szCs w:val="28"/>
        </w:rPr>
        <w:t>（四）预警</w:t>
      </w:r>
      <w:r>
        <w:rPr>
          <w:sz w:val="28"/>
          <w:szCs w:val="28"/>
        </w:rPr>
        <w:tab/>
      </w:r>
      <w:r>
        <w:rPr>
          <w:sz w:val="28"/>
          <w:szCs w:val="28"/>
        </w:rPr>
        <w:fldChar w:fldCharType="begin"/>
      </w:r>
      <w:r>
        <w:rPr>
          <w:sz w:val="28"/>
          <w:szCs w:val="28"/>
        </w:rPr>
        <w:instrText xml:space="preserve"> PAGEREF _Toc11949 \h </w:instrText>
      </w:r>
      <w:r>
        <w:rPr>
          <w:sz w:val="28"/>
          <w:szCs w:val="28"/>
        </w:rPr>
        <w:fldChar w:fldCharType="separate"/>
      </w:r>
      <w:r>
        <w:rPr>
          <w:sz w:val="28"/>
          <w:szCs w:val="28"/>
        </w:rPr>
        <w:t>9</w:t>
      </w:r>
      <w:r>
        <w:rPr>
          <w:sz w:val="28"/>
          <w:szCs w:val="28"/>
        </w:rPr>
        <w:fldChar w:fldCharType="end"/>
      </w:r>
      <w:r>
        <w:rPr>
          <w:sz w:val="28"/>
          <w:szCs w:val="28"/>
        </w:rPr>
        <w:fldChar w:fldCharType="end"/>
      </w:r>
    </w:p>
    <w:p>
      <w:pPr>
        <w:pStyle w:val="14"/>
        <w:tabs>
          <w:tab w:val="right" w:leader="dot" w:pos="8845"/>
        </w:tabs>
        <w:snapToGrid w:val="0"/>
        <w:spacing w:line="500" w:lineRule="exact"/>
        <w:ind w:left="0" w:leftChars="0" w:firstLine="480" w:firstLineChars="150"/>
        <w:rPr>
          <w:sz w:val="28"/>
          <w:szCs w:val="28"/>
        </w:rPr>
      </w:pPr>
      <w:r>
        <w:fldChar w:fldCharType="begin"/>
      </w:r>
      <w:r>
        <w:instrText xml:space="preserve"> HYPERLINK \l "_Toc1024" </w:instrText>
      </w:r>
      <w:r>
        <w:fldChar w:fldCharType="separate"/>
      </w:r>
      <w:r>
        <w:rPr>
          <w:rFonts w:hint="eastAsia" w:ascii="楷体" w:hAnsi="楷体" w:eastAsia="楷体" w:cs="楷体"/>
          <w:sz w:val="28"/>
          <w:szCs w:val="28"/>
        </w:rPr>
        <w:t>（五）信息报告</w:t>
      </w:r>
      <w:r>
        <w:rPr>
          <w:sz w:val="28"/>
          <w:szCs w:val="28"/>
        </w:rPr>
        <w:tab/>
      </w:r>
      <w:r>
        <w:rPr>
          <w:sz w:val="28"/>
          <w:szCs w:val="28"/>
        </w:rPr>
        <w:fldChar w:fldCharType="begin"/>
      </w:r>
      <w:r>
        <w:rPr>
          <w:sz w:val="28"/>
          <w:szCs w:val="28"/>
        </w:rPr>
        <w:instrText xml:space="preserve"> PAGEREF _Toc1024 \h </w:instrText>
      </w:r>
      <w:r>
        <w:rPr>
          <w:sz w:val="28"/>
          <w:szCs w:val="28"/>
        </w:rPr>
        <w:fldChar w:fldCharType="separate"/>
      </w:r>
      <w:r>
        <w:rPr>
          <w:sz w:val="28"/>
          <w:szCs w:val="28"/>
        </w:rPr>
        <w:t>9</w:t>
      </w:r>
      <w:r>
        <w:rPr>
          <w:sz w:val="28"/>
          <w:szCs w:val="28"/>
        </w:rPr>
        <w:fldChar w:fldCharType="end"/>
      </w:r>
      <w:r>
        <w:rPr>
          <w:sz w:val="28"/>
          <w:szCs w:val="28"/>
        </w:rPr>
        <w:fldChar w:fldCharType="end"/>
      </w:r>
    </w:p>
    <w:p>
      <w:pPr>
        <w:pStyle w:val="13"/>
        <w:tabs>
          <w:tab w:val="right" w:leader="dot" w:pos="8845"/>
        </w:tabs>
        <w:snapToGrid w:val="0"/>
        <w:spacing w:line="500" w:lineRule="exact"/>
        <w:rPr>
          <w:sz w:val="28"/>
          <w:szCs w:val="28"/>
        </w:rPr>
      </w:pPr>
      <w:r>
        <w:fldChar w:fldCharType="begin"/>
      </w:r>
      <w:r>
        <w:instrText xml:space="preserve"> HYPERLINK \l "_Toc15629" </w:instrText>
      </w:r>
      <w:r>
        <w:fldChar w:fldCharType="separate"/>
      </w:r>
      <w:r>
        <w:rPr>
          <w:rFonts w:hint="eastAsia" w:ascii="黑体" w:hAnsi="黑体" w:eastAsia="黑体" w:cs="黑体"/>
          <w:sz w:val="28"/>
          <w:szCs w:val="28"/>
        </w:rPr>
        <w:t>四、应急响应</w:t>
      </w:r>
      <w:r>
        <w:rPr>
          <w:sz w:val="28"/>
          <w:szCs w:val="28"/>
        </w:rPr>
        <w:tab/>
      </w:r>
      <w:r>
        <w:rPr>
          <w:sz w:val="28"/>
          <w:szCs w:val="28"/>
        </w:rPr>
        <w:fldChar w:fldCharType="begin"/>
      </w:r>
      <w:r>
        <w:rPr>
          <w:sz w:val="28"/>
          <w:szCs w:val="28"/>
        </w:rPr>
        <w:instrText xml:space="preserve"> PAGEREF _Toc15629 \h </w:instrText>
      </w:r>
      <w:r>
        <w:rPr>
          <w:sz w:val="28"/>
          <w:szCs w:val="28"/>
        </w:rPr>
        <w:fldChar w:fldCharType="separate"/>
      </w:r>
      <w:r>
        <w:rPr>
          <w:sz w:val="28"/>
          <w:szCs w:val="28"/>
        </w:rPr>
        <w:t>11</w:t>
      </w:r>
      <w:r>
        <w:rPr>
          <w:sz w:val="28"/>
          <w:szCs w:val="28"/>
        </w:rPr>
        <w:fldChar w:fldCharType="end"/>
      </w:r>
      <w:r>
        <w:rPr>
          <w:sz w:val="28"/>
          <w:szCs w:val="28"/>
        </w:rPr>
        <w:fldChar w:fldCharType="end"/>
      </w:r>
    </w:p>
    <w:p>
      <w:pPr>
        <w:pStyle w:val="14"/>
        <w:tabs>
          <w:tab w:val="right" w:leader="dot" w:pos="8845"/>
        </w:tabs>
        <w:snapToGrid w:val="0"/>
        <w:spacing w:line="500" w:lineRule="exact"/>
        <w:ind w:left="0" w:leftChars="0" w:firstLine="480" w:firstLineChars="150"/>
        <w:rPr>
          <w:sz w:val="28"/>
          <w:szCs w:val="28"/>
        </w:rPr>
      </w:pPr>
      <w:r>
        <w:fldChar w:fldCharType="begin"/>
      </w:r>
      <w:r>
        <w:instrText xml:space="preserve"> HYPERLINK \l "_Toc21594" </w:instrText>
      </w:r>
      <w:r>
        <w:fldChar w:fldCharType="separate"/>
      </w:r>
      <w:r>
        <w:rPr>
          <w:rFonts w:hint="eastAsia" w:ascii="楷体" w:hAnsi="楷体" w:eastAsia="楷体" w:cs="楷体"/>
          <w:sz w:val="28"/>
          <w:szCs w:val="28"/>
        </w:rPr>
        <w:t>（一）</w:t>
      </w:r>
      <w:r>
        <w:rPr>
          <w:rFonts w:hint="eastAsia" w:ascii="楷体" w:hAnsi="楷体" w:eastAsia="楷体" w:cs="楷体"/>
          <w:sz w:val="28"/>
          <w:szCs w:val="28"/>
          <w:lang w:eastAsia="zh-CN"/>
        </w:rPr>
        <w:t>响应</w:t>
      </w:r>
      <w:r>
        <w:rPr>
          <w:rFonts w:hint="eastAsia" w:ascii="楷体" w:hAnsi="楷体" w:eastAsia="楷体" w:cs="楷体"/>
          <w:sz w:val="28"/>
          <w:szCs w:val="28"/>
        </w:rPr>
        <w:t>分级</w:t>
      </w:r>
      <w:r>
        <w:rPr>
          <w:sz w:val="28"/>
          <w:szCs w:val="28"/>
        </w:rPr>
        <w:tab/>
      </w:r>
      <w:r>
        <w:rPr>
          <w:sz w:val="28"/>
          <w:szCs w:val="28"/>
        </w:rPr>
        <w:fldChar w:fldCharType="begin"/>
      </w:r>
      <w:r>
        <w:rPr>
          <w:sz w:val="28"/>
          <w:szCs w:val="28"/>
        </w:rPr>
        <w:instrText xml:space="preserve"> PAGEREF _Toc21594 \h </w:instrText>
      </w:r>
      <w:r>
        <w:rPr>
          <w:sz w:val="28"/>
          <w:szCs w:val="28"/>
        </w:rPr>
        <w:fldChar w:fldCharType="separate"/>
      </w:r>
      <w:r>
        <w:rPr>
          <w:sz w:val="28"/>
          <w:szCs w:val="28"/>
        </w:rPr>
        <w:t>11</w:t>
      </w:r>
      <w:r>
        <w:rPr>
          <w:sz w:val="28"/>
          <w:szCs w:val="28"/>
        </w:rPr>
        <w:fldChar w:fldCharType="end"/>
      </w:r>
      <w:r>
        <w:rPr>
          <w:sz w:val="28"/>
          <w:szCs w:val="28"/>
        </w:rPr>
        <w:fldChar w:fldCharType="end"/>
      </w:r>
    </w:p>
    <w:p>
      <w:pPr>
        <w:pStyle w:val="14"/>
        <w:tabs>
          <w:tab w:val="right" w:leader="dot" w:pos="8845"/>
        </w:tabs>
        <w:snapToGrid w:val="0"/>
        <w:spacing w:line="500" w:lineRule="exact"/>
        <w:ind w:leftChars="0" w:firstLine="54" w:firstLineChars="17"/>
        <w:rPr>
          <w:sz w:val="28"/>
          <w:szCs w:val="28"/>
        </w:rPr>
      </w:pPr>
      <w:r>
        <w:fldChar w:fldCharType="begin"/>
      </w:r>
      <w:r>
        <w:instrText xml:space="preserve"> HYPERLINK \l "_Toc22504" </w:instrText>
      </w:r>
      <w:r>
        <w:fldChar w:fldCharType="separate"/>
      </w:r>
      <w:r>
        <w:rPr>
          <w:rFonts w:hint="eastAsia" w:ascii="楷体" w:hAnsi="楷体" w:eastAsia="楷体" w:cs="楷体"/>
          <w:sz w:val="28"/>
          <w:szCs w:val="28"/>
        </w:rPr>
        <w:t>（二）指挥协调</w:t>
      </w:r>
      <w:r>
        <w:rPr>
          <w:sz w:val="28"/>
          <w:szCs w:val="28"/>
        </w:rPr>
        <w:tab/>
      </w:r>
      <w:r>
        <w:rPr>
          <w:sz w:val="28"/>
          <w:szCs w:val="28"/>
        </w:rPr>
        <w:fldChar w:fldCharType="begin"/>
      </w:r>
      <w:r>
        <w:rPr>
          <w:sz w:val="28"/>
          <w:szCs w:val="28"/>
        </w:rPr>
        <w:instrText xml:space="preserve"> PAGEREF _Toc22504 \h </w:instrText>
      </w:r>
      <w:r>
        <w:rPr>
          <w:sz w:val="28"/>
          <w:szCs w:val="28"/>
        </w:rPr>
        <w:fldChar w:fldCharType="separate"/>
      </w:r>
      <w:r>
        <w:rPr>
          <w:sz w:val="28"/>
          <w:szCs w:val="28"/>
        </w:rPr>
        <w:t>12</w:t>
      </w:r>
      <w:r>
        <w:rPr>
          <w:sz w:val="28"/>
          <w:szCs w:val="28"/>
        </w:rPr>
        <w:fldChar w:fldCharType="end"/>
      </w:r>
      <w:r>
        <w:rPr>
          <w:sz w:val="28"/>
          <w:szCs w:val="28"/>
        </w:rPr>
        <w:fldChar w:fldCharType="end"/>
      </w:r>
    </w:p>
    <w:p>
      <w:pPr>
        <w:pStyle w:val="14"/>
        <w:tabs>
          <w:tab w:val="right" w:leader="dot" w:pos="8845"/>
        </w:tabs>
        <w:snapToGrid w:val="0"/>
        <w:spacing w:line="500" w:lineRule="exact"/>
        <w:ind w:left="0" w:leftChars="0" w:firstLine="480" w:firstLineChars="150"/>
        <w:rPr>
          <w:sz w:val="28"/>
          <w:szCs w:val="28"/>
        </w:rPr>
      </w:pPr>
      <w:r>
        <w:fldChar w:fldCharType="begin"/>
      </w:r>
      <w:r>
        <w:instrText xml:space="preserve"> HYPERLINK \l "_Toc5484" </w:instrText>
      </w:r>
      <w:r>
        <w:fldChar w:fldCharType="separate"/>
      </w:r>
      <w:r>
        <w:rPr>
          <w:rFonts w:hint="eastAsia" w:ascii="楷体" w:hAnsi="楷体" w:eastAsia="楷体" w:cs="楷体"/>
          <w:sz w:val="28"/>
          <w:szCs w:val="28"/>
        </w:rPr>
        <w:t>（三）响应措施</w:t>
      </w:r>
      <w:r>
        <w:rPr>
          <w:sz w:val="28"/>
          <w:szCs w:val="28"/>
        </w:rPr>
        <w:tab/>
      </w:r>
      <w:r>
        <w:rPr>
          <w:sz w:val="28"/>
          <w:szCs w:val="28"/>
        </w:rPr>
        <w:fldChar w:fldCharType="begin"/>
      </w:r>
      <w:r>
        <w:rPr>
          <w:sz w:val="28"/>
          <w:szCs w:val="28"/>
        </w:rPr>
        <w:instrText xml:space="preserve"> PAGEREF _Toc5484 \h </w:instrText>
      </w:r>
      <w:r>
        <w:rPr>
          <w:sz w:val="28"/>
          <w:szCs w:val="28"/>
        </w:rPr>
        <w:fldChar w:fldCharType="separate"/>
      </w:r>
      <w:r>
        <w:rPr>
          <w:sz w:val="28"/>
          <w:szCs w:val="28"/>
        </w:rPr>
        <w:t>14</w:t>
      </w:r>
      <w:r>
        <w:rPr>
          <w:sz w:val="28"/>
          <w:szCs w:val="28"/>
        </w:rPr>
        <w:fldChar w:fldCharType="end"/>
      </w:r>
      <w:r>
        <w:rPr>
          <w:sz w:val="28"/>
          <w:szCs w:val="28"/>
        </w:rPr>
        <w:fldChar w:fldCharType="end"/>
      </w:r>
    </w:p>
    <w:p>
      <w:pPr>
        <w:pStyle w:val="14"/>
        <w:tabs>
          <w:tab w:val="right" w:leader="dot" w:pos="8845"/>
        </w:tabs>
        <w:snapToGrid w:val="0"/>
        <w:spacing w:line="500" w:lineRule="exact"/>
        <w:ind w:left="0" w:leftChars="0" w:firstLine="480" w:firstLineChars="150"/>
        <w:rPr>
          <w:sz w:val="28"/>
          <w:szCs w:val="28"/>
        </w:rPr>
      </w:pPr>
      <w:r>
        <w:fldChar w:fldCharType="begin"/>
      </w:r>
      <w:r>
        <w:instrText xml:space="preserve"> HYPERLINK \l "_Toc23617" </w:instrText>
      </w:r>
      <w:r>
        <w:fldChar w:fldCharType="separate"/>
      </w:r>
      <w:r>
        <w:rPr>
          <w:rFonts w:hint="eastAsia" w:ascii="楷体" w:hAnsi="楷体" w:eastAsia="楷体" w:cs="楷体"/>
          <w:sz w:val="28"/>
          <w:szCs w:val="28"/>
        </w:rPr>
        <w:t>（四）市电力应急指挥部应对</w:t>
      </w:r>
      <w:r>
        <w:rPr>
          <w:sz w:val="28"/>
          <w:szCs w:val="28"/>
        </w:rPr>
        <w:tab/>
      </w:r>
      <w:r>
        <w:rPr>
          <w:sz w:val="28"/>
          <w:szCs w:val="28"/>
        </w:rPr>
        <w:fldChar w:fldCharType="begin"/>
      </w:r>
      <w:r>
        <w:rPr>
          <w:sz w:val="28"/>
          <w:szCs w:val="28"/>
        </w:rPr>
        <w:instrText xml:space="preserve"> PAGEREF _Toc23617 \h </w:instrText>
      </w:r>
      <w:r>
        <w:rPr>
          <w:sz w:val="28"/>
          <w:szCs w:val="28"/>
        </w:rPr>
        <w:fldChar w:fldCharType="separate"/>
      </w:r>
      <w:r>
        <w:rPr>
          <w:sz w:val="28"/>
          <w:szCs w:val="28"/>
        </w:rPr>
        <w:t>16</w:t>
      </w:r>
      <w:r>
        <w:rPr>
          <w:sz w:val="28"/>
          <w:szCs w:val="28"/>
        </w:rPr>
        <w:fldChar w:fldCharType="end"/>
      </w:r>
      <w:r>
        <w:rPr>
          <w:sz w:val="28"/>
          <w:szCs w:val="28"/>
        </w:rPr>
        <w:fldChar w:fldCharType="end"/>
      </w:r>
    </w:p>
    <w:p>
      <w:pPr>
        <w:pStyle w:val="14"/>
        <w:tabs>
          <w:tab w:val="right" w:leader="dot" w:pos="8845"/>
        </w:tabs>
        <w:snapToGrid w:val="0"/>
        <w:spacing w:line="500" w:lineRule="exact"/>
        <w:ind w:left="0" w:leftChars="0" w:firstLine="480" w:firstLineChars="150"/>
        <w:rPr>
          <w:sz w:val="28"/>
          <w:szCs w:val="28"/>
        </w:rPr>
      </w:pPr>
      <w:r>
        <w:fldChar w:fldCharType="begin"/>
      </w:r>
      <w:r>
        <w:instrText xml:space="preserve"> HYPERLINK \l "_Toc31723" </w:instrText>
      </w:r>
      <w:r>
        <w:fldChar w:fldCharType="separate"/>
      </w:r>
      <w:r>
        <w:rPr>
          <w:rFonts w:hint="eastAsia" w:ascii="楷体" w:hAnsi="楷体" w:eastAsia="楷体" w:cs="楷体"/>
          <w:sz w:val="28"/>
          <w:szCs w:val="28"/>
        </w:rPr>
        <w:t>（五）电力企业应对</w:t>
      </w:r>
      <w:r>
        <w:rPr>
          <w:sz w:val="28"/>
          <w:szCs w:val="28"/>
        </w:rPr>
        <w:tab/>
      </w:r>
      <w:r>
        <w:rPr>
          <w:sz w:val="28"/>
          <w:szCs w:val="28"/>
        </w:rPr>
        <w:fldChar w:fldCharType="begin"/>
      </w:r>
      <w:r>
        <w:rPr>
          <w:sz w:val="28"/>
          <w:szCs w:val="28"/>
        </w:rPr>
        <w:instrText xml:space="preserve"> PAGEREF _Toc31723 \h </w:instrText>
      </w:r>
      <w:r>
        <w:rPr>
          <w:sz w:val="28"/>
          <w:szCs w:val="28"/>
        </w:rPr>
        <w:fldChar w:fldCharType="separate"/>
      </w:r>
      <w:r>
        <w:rPr>
          <w:sz w:val="28"/>
          <w:szCs w:val="28"/>
        </w:rPr>
        <w:t>16</w:t>
      </w:r>
      <w:r>
        <w:rPr>
          <w:sz w:val="28"/>
          <w:szCs w:val="28"/>
        </w:rPr>
        <w:fldChar w:fldCharType="end"/>
      </w:r>
      <w:r>
        <w:rPr>
          <w:sz w:val="28"/>
          <w:szCs w:val="28"/>
        </w:rPr>
        <w:fldChar w:fldCharType="end"/>
      </w:r>
    </w:p>
    <w:p>
      <w:pPr>
        <w:pStyle w:val="14"/>
        <w:tabs>
          <w:tab w:val="right" w:leader="dot" w:pos="8845"/>
        </w:tabs>
        <w:snapToGrid w:val="0"/>
        <w:spacing w:line="500" w:lineRule="exact"/>
        <w:ind w:left="0" w:leftChars="0" w:firstLine="480" w:firstLineChars="150"/>
        <w:rPr>
          <w:sz w:val="28"/>
          <w:szCs w:val="28"/>
        </w:rPr>
      </w:pPr>
      <w:r>
        <w:fldChar w:fldCharType="begin"/>
      </w:r>
      <w:r>
        <w:instrText xml:space="preserve"> HYPERLINK \l "_Toc23685" </w:instrText>
      </w:r>
      <w:r>
        <w:fldChar w:fldCharType="separate"/>
      </w:r>
      <w:r>
        <w:rPr>
          <w:rFonts w:hint="eastAsia" w:ascii="楷体" w:hAnsi="楷体" w:eastAsia="楷体" w:cs="楷体"/>
          <w:sz w:val="28"/>
          <w:szCs w:val="28"/>
        </w:rPr>
        <w:t>（六）重要电力用户应对</w:t>
      </w:r>
      <w:r>
        <w:rPr>
          <w:sz w:val="28"/>
          <w:szCs w:val="28"/>
        </w:rPr>
        <w:tab/>
      </w:r>
      <w:r>
        <w:rPr>
          <w:sz w:val="28"/>
          <w:szCs w:val="28"/>
        </w:rPr>
        <w:fldChar w:fldCharType="begin"/>
      </w:r>
      <w:r>
        <w:rPr>
          <w:sz w:val="28"/>
          <w:szCs w:val="28"/>
        </w:rPr>
        <w:instrText xml:space="preserve"> PAGEREF _Toc23685 \h </w:instrText>
      </w:r>
      <w:r>
        <w:rPr>
          <w:sz w:val="28"/>
          <w:szCs w:val="28"/>
        </w:rPr>
        <w:fldChar w:fldCharType="separate"/>
      </w:r>
      <w:r>
        <w:rPr>
          <w:sz w:val="28"/>
          <w:szCs w:val="28"/>
        </w:rPr>
        <w:t>17</w:t>
      </w:r>
      <w:r>
        <w:rPr>
          <w:sz w:val="28"/>
          <w:szCs w:val="28"/>
        </w:rPr>
        <w:fldChar w:fldCharType="end"/>
      </w:r>
      <w:r>
        <w:rPr>
          <w:sz w:val="28"/>
          <w:szCs w:val="28"/>
        </w:rPr>
        <w:fldChar w:fldCharType="end"/>
      </w:r>
    </w:p>
    <w:p>
      <w:pPr>
        <w:pStyle w:val="14"/>
        <w:tabs>
          <w:tab w:val="right" w:leader="dot" w:pos="8845"/>
        </w:tabs>
        <w:snapToGrid w:val="0"/>
        <w:spacing w:line="500" w:lineRule="exact"/>
        <w:ind w:left="0" w:leftChars="0" w:firstLine="480" w:firstLineChars="150"/>
        <w:rPr>
          <w:sz w:val="28"/>
          <w:szCs w:val="28"/>
        </w:rPr>
      </w:pPr>
      <w:r>
        <w:fldChar w:fldCharType="begin"/>
      </w:r>
      <w:r>
        <w:instrText xml:space="preserve"> HYPERLINK \l "_Toc10197" </w:instrText>
      </w:r>
      <w:r>
        <w:fldChar w:fldCharType="separate"/>
      </w:r>
      <w:r>
        <w:rPr>
          <w:rFonts w:hint="eastAsia" w:ascii="楷体" w:hAnsi="楷体" w:eastAsia="楷体" w:cs="楷体"/>
          <w:sz w:val="28"/>
          <w:szCs w:val="28"/>
        </w:rPr>
        <w:t>（七）响应终止</w:t>
      </w:r>
      <w:r>
        <w:rPr>
          <w:sz w:val="28"/>
          <w:szCs w:val="28"/>
        </w:rPr>
        <w:tab/>
      </w:r>
      <w:r>
        <w:rPr>
          <w:sz w:val="28"/>
          <w:szCs w:val="28"/>
        </w:rPr>
        <w:fldChar w:fldCharType="begin"/>
      </w:r>
      <w:r>
        <w:rPr>
          <w:sz w:val="28"/>
          <w:szCs w:val="28"/>
        </w:rPr>
        <w:instrText xml:space="preserve"> PAGEREF _Toc10197 \h </w:instrText>
      </w:r>
      <w:r>
        <w:rPr>
          <w:sz w:val="28"/>
          <w:szCs w:val="28"/>
        </w:rPr>
        <w:fldChar w:fldCharType="separate"/>
      </w:r>
      <w:r>
        <w:rPr>
          <w:sz w:val="28"/>
          <w:szCs w:val="28"/>
        </w:rPr>
        <w:t>18</w:t>
      </w:r>
      <w:r>
        <w:rPr>
          <w:sz w:val="28"/>
          <w:szCs w:val="28"/>
        </w:rPr>
        <w:fldChar w:fldCharType="end"/>
      </w:r>
      <w:r>
        <w:rPr>
          <w:sz w:val="28"/>
          <w:szCs w:val="28"/>
        </w:rPr>
        <w:fldChar w:fldCharType="end"/>
      </w:r>
    </w:p>
    <w:p>
      <w:pPr>
        <w:pStyle w:val="13"/>
        <w:tabs>
          <w:tab w:val="right" w:leader="dot" w:pos="8845"/>
        </w:tabs>
        <w:snapToGrid w:val="0"/>
        <w:spacing w:line="500" w:lineRule="exact"/>
        <w:rPr>
          <w:sz w:val="28"/>
          <w:szCs w:val="28"/>
        </w:rPr>
      </w:pPr>
      <w:r>
        <w:fldChar w:fldCharType="begin"/>
      </w:r>
      <w:r>
        <w:instrText xml:space="preserve"> HYPERLINK \l "_Toc13564" </w:instrText>
      </w:r>
      <w:r>
        <w:fldChar w:fldCharType="separate"/>
      </w:r>
      <w:r>
        <w:rPr>
          <w:rFonts w:hint="eastAsia" w:ascii="黑体" w:hAnsi="黑体" w:eastAsia="黑体" w:cs="黑体"/>
          <w:sz w:val="28"/>
          <w:szCs w:val="28"/>
        </w:rPr>
        <w:t>五、后期处置</w:t>
      </w:r>
      <w:r>
        <w:rPr>
          <w:sz w:val="28"/>
          <w:szCs w:val="28"/>
        </w:rPr>
        <w:tab/>
      </w:r>
      <w:r>
        <w:rPr>
          <w:sz w:val="28"/>
          <w:szCs w:val="28"/>
        </w:rPr>
        <w:fldChar w:fldCharType="begin"/>
      </w:r>
      <w:r>
        <w:rPr>
          <w:sz w:val="28"/>
          <w:szCs w:val="28"/>
        </w:rPr>
        <w:instrText xml:space="preserve"> PAGEREF _Toc13564 \h </w:instrText>
      </w:r>
      <w:r>
        <w:rPr>
          <w:sz w:val="28"/>
          <w:szCs w:val="28"/>
        </w:rPr>
        <w:fldChar w:fldCharType="separate"/>
      </w:r>
      <w:r>
        <w:rPr>
          <w:sz w:val="28"/>
          <w:szCs w:val="28"/>
        </w:rPr>
        <w:t>19</w:t>
      </w:r>
      <w:r>
        <w:rPr>
          <w:sz w:val="28"/>
          <w:szCs w:val="28"/>
        </w:rPr>
        <w:fldChar w:fldCharType="end"/>
      </w:r>
      <w:r>
        <w:rPr>
          <w:sz w:val="28"/>
          <w:szCs w:val="28"/>
        </w:rPr>
        <w:fldChar w:fldCharType="end"/>
      </w:r>
    </w:p>
    <w:p>
      <w:pPr>
        <w:pStyle w:val="14"/>
        <w:tabs>
          <w:tab w:val="right" w:leader="dot" w:pos="8845"/>
        </w:tabs>
        <w:snapToGrid w:val="0"/>
        <w:spacing w:line="500" w:lineRule="exact"/>
        <w:ind w:left="0" w:leftChars="0" w:firstLine="480" w:firstLineChars="150"/>
        <w:rPr>
          <w:sz w:val="28"/>
          <w:szCs w:val="28"/>
        </w:rPr>
      </w:pPr>
      <w:r>
        <w:fldChar w:fldCharType="begin"/>
      </w:r>
      <w:r>
        <w:instrText xml:space="preserve"> HYPERLINK \l "_Toc16495" </w:instrText>
      </w:r>
      <w:r>
        <w:fldChar w:fldCharType="separate"/>
      </w:r>
      <w:r>
        <w:rPr>
          <w:rFonts w:hint="eastAsia" w:ascii="楷体" w:hAnsi="楷体" w:eastAsia="楷体" w:cs="楷体"/>
          <w:sz w:val="28"/>
          <w:szCs w:val="28"/>
        </w:rPr>
        <w:t>（一）处置评估</w:t>
      </w:r>
      <w:r>
        <w:rPr>
          <w:sz w:val="28"/>
          <w:szCs w:val="28"/>
        </w:rPr>
        <w:tab/>
      </w:r>
      <w:r>
        <w:rPr>
          <w:sz w:val="28"/>
          <w:szCs w:val="28"/>
        </w:rPr>
        <w:fldChar w:fldCharType="begin"/>
      </w:r>
      <w:r>
        <w:rPr>
          <w:sz w:val="28"/>
          <w:szCs w:val="28"/>
        </w:rPr>
        <w:instrText xml:space="preserve"> PAGEREF _Toc16495 \h </w:instrText>
      </w:r>
      <w:r>
        <w:rPr>
          <w:sz w:val="28"/>
          <w:szCs w:val="28"/>
        </w:rPr>
        <w:fldChar w:fldCharType="separate"/>
      </w:r>
      <w:r>
        <w:rPr>
          <w:sz w:val="28"/>
          <w:szCs w:val="28"/>
        </w:rPr>
        <w:t>19</w:t>
      </w:r>
      <w:r>
        <w:rPr>
          <w:sz w:val="28"/>
          <w:szCs w:val="28"/>
        </w:rPr>
        <w:fldChar w:fldCharType="end"/>
      </w:r>
      <w:r>
        <w:rPr>
          <w:sz w:val="28"/>
          <w:szCs w:val="28"/>
        </w:rPr>
        <w:fldChar w:fldCharType="end"/>
      </w:r>
    </w:p>
    <w:p>
      <w:pPr>
        <w:pStyle w:val="14"/>
        <w:tabs>
          <w:tab w:val="right" w:leader="dot" w:pos="8845"/>
        </w:tabs>
        <w:snapToGrid w:val="0"/>
        <w:spacing w:line="500" w:lineRule="exact"/>
        <w:ind w:left="0" w:leftChars="0" w:firstLine="480" w:firstLineChars="150"/>
        <w:rPr>
          <w:sz w:val="28"/>
          <w:szCs w:val="28"/>
        </w:rPr>
      </w:pPr>
      <w:r>
        <w:fldChar w:fldCharType="begin"/>
      </w:r>
      <w:r>
        <w:instrText xml:space="preserve"> HYPERLINK \l "_Toc6224" </w:instrText>
      </w:r>
      <w:r>
        <w:fldChar w:fldCharType="separate"/>
      </w:r>
      <w:r>
        <w:rPr>
          <w:rFonts w:hint="eastAsia" w:ascii="楷体" w:hAnsi="楷体" w:eastAsia="楷体" w:cs="楷体"/>
          <w:sz w:val="28"/>
          <w:szCs w:val="28"/>
        </w:rPr>
        <w:t>（二）事件调查</w:t>
      </w:r>
      <w:r>
        <w:rPr>
          <w:sz w:val="28"/>
          <w:szCs w:val="28"/>
        </w:rPr>
        <w:tab/>
      </w:r>
      <w:r>
        <w:rPr>
          <w:sz w:val="28"/>
          <w:szCs w:val="28"/>
        </w:rPr>
        <w:fldChar w:fldCharType="begin"/>
      </w:r>
      <w:r>
        <w:rPr>
          <w:sz w:val="28"/>
          <w:szCs w:val="28"/>
        </w:rPr>
        <w:instrText xml:space="preserve"> PAGEREF _Toc6224 \h </w:instrText>
      </w:r>
      <w:r>
        <w:rPr>
          <w:sz w:val="28"/>
          <w:szCs w:val="28"/>
        </w:rPr>
        <w:fldChar w:fldCharType="separate"/>
      </w:r>
      <w:r>
        <w:rPr>
          <w:sz w:val="28"/>
          <w:szCs w:val="28"/>
        </w:rPr>
        <w:t>19</w:t>
      </w:r>
      <w:r>
        <w:rPr>
          <w:sz w:val="28"/>
          <w:szCs w:val="28"/>
        </w:rPr>
        <w:fldChar w:fldCharType="end"/>
      </w:r>
      <w:r>
        <w:rPr>
          <w:sz w:val="28"/>
          <w:szCs w:val="28"/>
        </w:rPr>
        <w:fldChar w:fldCharType="end"/>
      </w:r>
    </w:p>
    <w:p>
      <w:pPr>
        <w:pStyle w:val="14"/>
        <w:tabs>
          <w:tab w:val="right" w:leader="dot" w:pos="8845"/>
        </w:tabs>
        <w:snapToGrid w:val="0"/>
        <w:spacing w:line="500" w:lineRule="exact"/>
        <w:ind w:left="0" w:leftChars="0" w:firstLine="480" w:firstLineChars="150"/>
        <w:rPr>
          <w:sz w:val="28"/>
          <w:szCs w:val="28"/>
        </w:rPr>
      </w:pPr>
      <w:r>
        <w:fldChar w:fldCharType="begin"/>
      </w:r>
      <w:r>
        <w:instrText xml:space="preserve"> HYPERLINK \l "_Toc10548" </w:instrText>
      </w:r>
      <w:r>
        <w:fldChar w:fldCharType="separate"/>
      </w:r>
      <w:r>
        <w:rPr>
          <w:rFonts w:hint="eastAsia" w:ascii="楷体" w:hAnsi="楷体" w:eastAsia="楷体" w:cs="楷体"/>
          <w:sz w:val="28"/>
          <w:szCs w:val="28"/>
        </w:rPr>
        <w:t>（三）善后处置</w:t>
      </w:r>
      <w:r>
        <w:rPr>
          <w:sz w:val="28"/>
          <w:szCs w:val="28"/>
        </w:rPr>
        <w:tab/>
      </w:r>
      <w:r>
        <w:rPr>
          <w:sz w:val="28"/>
          <w:szCs w:val="28"/>
        </w:rPr>
        <w:fldChar w:fldCharType="begin"/>
      </w:r>
      <w:r>
        <w:rPr>
          <w:sz w:val="28"/>
          <w:szCs w:val="28"/>
        </w:rPr>
        <w:instrText xml:space="preserve"> PAGEREF _Toc10548 \h </w:instrText>
      </w:r>
      <w:r>
        <w:rPr>
          <w:sz w:val="28"/>
          <w:szCs w:val="28"/>
        </w:rPr>
        <w:fldChar w:fldCharType="separate"/>
      </w:r>
      <w:r>
        <w:rPr>
          <w:sz w:val="28"/>
          <w:szCs w:val="28"/>
        </w:rPr>
        <w:t>19</w:t>
      </w:r>
      <w:r>
        <w:rPr>
          <w:sz w:val="28"/>
          <w:szCs w:val="28"/>
        </w:rPr>
        <w:fldChar w:fldCharType="end"/>
      </w:r>
      <w:r>
        <w:rPr>
          <w:sz w:val="28"/>
          <w:szCs w:val="28"/>
        </w:rPr>
        <w:fldChar w:fldCharType="end"/>
      </w:r>
    </w:p>
    <w:p>
      <w:pPr>
        <w:pStyle w:val="14"/>
        <w:tabs>
          <w:tab w:val="right" w:leader="dot" w:pos="8845"/>
        </w:tabs>
        <w:snapToGrid w:val="0"/>
        <w:spacing w:line="500" w:lineRule="exact"/>
        <w:ind w:left="0" w:leftChars="0" w:firstLine="480" w:firstLineChars="150"/>
        <w:rPr>
          <w:sz w:val="28"/>
          <w:szCs w:val="28"/>
        </w:rPr>
      </w:pPr>
      <w:r>
        <w:fldChar w:fldCharType="begin"/>
      </w:r>
      <w:r>
        <w:instrText xml:space="preserve"> HYPERLINK \l "_Toc22369" </w:instrText>
      </w:r>
      <w:r>
        <w:fldChar w:fldCharType="separate"/>
      </w:r>
      <w:r>
        <w:rPr>
          <w:rFonts w:hint="eastAsia" w:ascii="楷体" w:hAnsi="楷体" w:eastAsia="楷体" w:cs="楷体"/>
          <w:sz w:val="28"/>
          <w:szCs w:val="28"/>
        </w:rPr>
        <w:t>（四）恢复重建</w:t>
      </w:r>
      <w:r>
        <w:rPr>
          <w:sz w:val="28"/>
          <w:szCs w:val="28"/>
        </w:rPr>
        <w:tab/>
      </w:r>
      <w:r>
        <w:rPr>
          <w:sz w:val="28"/>
          <w:szCs w:val="28"/>
        </w:rPr>
        <w:fldChar w:fldCharType="begin"/>
      </w:r>
      <w:r>
        <w:rPr>
          <w:sz w:val="28"/>
          <w:szCs w:val="28"/>
        </w:rPr>
        <w:instrText xml:space="preserve"> PAGEREF _Toc22369 \h </w:instrText>
      </w:r>
      <w:r>
        <w:rPr>
          <w:sz w:val="28"/>
          <w:szCs w:val="28"/>
        </w:rPr>
        <w:fldChar w:fldCharType="separate"/>
      </w:r>
      <w:r>
        <w:rPr>
          <w:sz w:val="28"/>
          <w:szCs w:val="28"/>
        </w:rPr>
        <w:t>19</w:t>
      </w:r>
      <w:r>
        <w:rPr>
          <w:sz w:val="28"/>
          <w:szCs w:val="28"/>
        </w:rPr>
        <w:fldChar w:fldCharType="end"/>
      </w:r>
      <w:r>
        <w:rPr>
          <w:sz w:val="28"/>
          <w:szCs w:val="28"/>
        </w:rPr>
        <w:fldChar w:fldCharType="end"/>
      </w:r>
    </w:p>
    <w:p>
      <w:pPr>
        <w:pStyle w:val="14"/>
        <w:tabs>
          <w:tab w:val="right" w:leader="dot" w:pos="8845"/>
        </w:tabs>
        <w:snapToGrid w:val="0"/>
        <w:spacing w:line="500" w:lineRule="exact"/>
        <w:ind w:left="0" w:leftChars="0" w:firstLine="480" w:firstLineChars="150"/>
        <w:rPr>
          <w:sz w:val="28"/>
          <w:szCs w:val="28"/>
        </w:rPr>
      </w:pPr>
      <w:r>
        <w:fldChar w:fldCharType="begin"/>
      </w:r>
      <w:r>
        <w:instrText xml:space="preserve"> HYPERLINK \l "_Toc27177" </w:instrText>
      </w:r>
      <w:r>
        <w:fldChar w:fldCharType="separate"/>
      </w:r>
      <w:r>
        <w:rPr>
          <w:rFonts w:hint="eastAsia" w:ascii="楷体" w:hAnsi="楷体" w:eastAsia="楷体" w:cs="楷体"/>
          <w:sz w:val="28"/>
          <w:szCs w:val="28"/>
        </w:rPr>
        <w:t>（五）改进措施</w:t>
      </w:r>
      <w:r>
        <w:rPr>
          <w:sz w:val="28"/>
          <w:szCs w:val="28"/>
        </w:rPr>
        <w:tab/>
      </w:r>
      <w:r>
        <w:rPr>
          <w:sz w:val="28"/>
          <w:szCs w:val="28"/>
        </w:rPr>
        <w:fldChar w:fldCharType="begin"/>
      </w:r>
      <w:r>
        <w:rPr>
          <w:sz w:val="28"/>
          <w:szCs w:val="28"/>
        </w:rPr>
        <w:instrText xml:space="preserve"> PAGEREF _Toc27177 \h </w:instrText>
      </w:r>
      <w:r>
        <w:rPr>
          <w:sz w:val="28"/>
          <w:szCs w:val="28"/>
        </w:rPr>
        <w:fldChar w:fldCharType="separate"/>
      </w:r>
      <w:r>
        <w:rPr>
          <w:sz w:val="28"/>
          <w:szCs w:val="28"/>
        </w:rPr>
        <w:t>20</w:t>
      </w:r>
      <w:r>
        <w:rPr>
          <w:sz w:val="28"/>
          <w:szCs w:val="28"/>
        </w:rPr>
        <w:fldChar w:fldCharType="end"/>
      </w:r>
      <w:r>
        <w:rPr>
          <w:sz w:val="28"/>
          <w:szCs w:val="28"/>
        </w:rPr>
        <w:fldChar w:fldCharType="end"/>
      </w:r>
    </w:p>
    <w:p>
      <w:pPr>
        <w:pStyle w:val="13"/>
        <w:tabs>
          <w:tab w:val="right" w:leader="dot" w:pos="8845"/>
        </w:tabs>
        <w:snapToGrid w:val="0"/>
        <w:spacing w:line="500" w:lineRule="exact"/>
        <w:rPr>
          <w:sz w:val="28"/>
          <w:szCs w:val="28"/>
        </w:rPr>
      </w:pPr>
      <w:r>
        <w:fldChar w:fldCharType="begin"/>
      </w:r>
      <w:r>
        <w:instrText xml:space="preserve"> HYPERLINK \l "_Toc29981" </w:instrText>
      </w:r>
      <w:r>
        <w:fldChar w:fldCharType="separate"/>
      </w:r>
      <w:r>
        <w:rPr>
          <w:rFonts w:hint="eastAsia" w:ascii="黑体" w:hAnsi="黑体" w:eastAsia="黑体" w:cs="黑体"/>
          <w:sz w:val="28"/>
          <w:szCs w:val="28"/>
        </w:rPr>
        <w:t>六、保障措施</w:t>
      </w:r>
      <w:r>
        <w:rPr>
          <w:sz w:val="28"/>
          <w:szCs w:val="28"/>
        </w:rPr>
        <w:tab/>
      </w:r>
      <w:r>
        <w:rPr>
          <w:sz w:val="28"/>
          <w:szCs w:val="28"/>
        </w:rPr>
        <w:fldChar w:fldCharType="begin"/>
      </w:r>
      <w:r>
        <w:rPr>
          <w:sz w:val="28"/>
          <w:szCs w:val="28"/>
        </w:rPr>
        <w:instrText xml:space="preserve"> PAGEREF _Toc29981 \h </w:instrText>
      </w:r>
      <w:r>
        <w:rPr>
          <w:sz w:val="28"/>
          <w:szCs w:val="28"/>
        </w:rPr>
        <w:fldChar w:fldCharType="separate"/>
      </w:r>
      <w:r>
        <w:rPr>
          <w:sz w:val="28"/>
          <w:szCs w:val="28"/>
        </w:rPr>
        <w:t>20</w:t>
      </w:r>
      <w:r>
        <w:rPr>
          <w:sz w:val="28"/>
          <w:szCs w:val="28"/>
        </w:rPr>
        <w:fldChar w:fldCharType="end"/>
      </w:r>
      <w:r>
        <w:rPr>
          <w:sz w:val="28"/>
          <w:szCs w:val="28"/>
        </w:rPr>
        <w:fldChar w:fldCharType="end"/>
      </w:r>
    </w:p>
    <w:p>
      <w:pPr>
        <w:pStyle w:val="14"/>
        <w:tabs>
          <w:tab w:val="right" w:leader="dot" w:pos="8845"/>
        </w:tabs>
        <w:snapToGrid w:val="0"/>
        <w:spacing w:line="500" w:lineRule="exact"/>
        <w:ind w:left="0" w:leftChars="0" w:firstLine="480" w:firstLineChars="150"/>
        <w:rPr>
          <w:sz w:val="28"/>
          <w:szCs w:val="28"/>
        </w:rPr>
      </w:pPr>
      <w:r>
        <w:fldChar w:fldCharType="begin"/>
      </w:r>
      <w:r>
        <w:instrText xml:space="preserve"> HYPERLINK \l "_Toc29227" </w:instrText>
      </w:r>
      <w:r>
        <w:fldChar w:fldCharType="separate"/>
      </w:r>
      <w:r>
        <w:rPr>
          <w:rFonts w:hint="eastAsia" w:ascii="楷体" w:hAnsi="楷体" w:eastAsia="楷体" w:cs="楷体"/>
          <w:sz w:val="28"/>
          <w:szCs w:val="28"/>
        </w:rPr>
        <w:t>（一）队伍保障</w:t>
      </w:r>
      <w:r>
        <w:rPr>
          <w:sz w:val="28"/>
          <w:szCs w:val="28"/>
        </w:rPr>
        <w:tab/>
      </w:r>
      <w:r>
        <w:rPr>
          <w:sz w:val="28"/>
          <w:szCs w:val="28"/>
        </w:rPr>
        <w:fldChar w:fldCharType="begin"/>
      </w:r>
      <w:r>
        <w:rPr>
          <w:sz w:val="28"/>
          <w:szCs w:val="28"/>
        </w:rPr>
        <w:instrText xml:space="preserve"> PAGEREF _Toc29227 \h </w:instrText>
      </w:r>
      <w:r>
        <w:rPr>
          <w:sz w:val="28"/>
          <w:szCs w:val="28"/>
        </w:rPr>
        <w:fldChar w:fldCharType="separate"/>
      </w:r>
      <w:r>
        <w:rPr>
          <w:sz w:val="28"/>
          <w:szCs w:val="28"/>
        </w:rPr>
        <w:t>20</w:t>
      </w:r>
      <w:r>
        <w:rPr>
          <w:sz w:val="28"/>
          <w:szCs w:val="28"/>
        </w:rPr>
        <w:fldChar w:fldCharType="end"/>
      </w:r>
      <w:r>
        <w:rPr>
          <w:sz w:val="28"/>
          <w:szCs w:val="28"/>
        </w:rPr>
        <w:fldChar w:fldCharType="end"/>
      </w:r>
    </w:p>
    <w:p>
      <w:pPr>
        <w:pStyle w:val="14"/>
        <w:tabs>
          <w:tab w:val="right" w:leader="dot" w:pos="8845"/>
        </w:tabs>
        <w:snapToGrid w:val="0"/>
        <w:spacing w:line="500" w:lineRule="exact"/>
        <w:ind w:left="0" w:leftChars="0" w:firstLine="480" w:firstLineChars="150"/>
        <w:rPr>
          <w:sz w:val="28"/>
          <w:szCs w:val="28"/>
        </w:rPr>
      </w:pPr>
      <w:r>
        <w:fldChar w:fldCharType="begin"/>
      </w:r>
      <w:r>
        <w:instrText xml:space="preserve"> HYPERLINK \l "_Toc22127" </w:instrText>
      </w:r>
      <w:r>
        <w:fldChar w:fldCharType="separate"/>
      </w:r>
      <w:r>
        <w:rPr>
          <w:rFonts w:hint="eastAsia" w:ascii="楷体" w:hAnsi="楷体" w:eastAsia="楷体" w:cs="楷体"/>
          <w:sz w:val="28"/>
          <w:szCs w:val="28"/>
        </w:rPr>
        <w:t>（二）装备物资保障</w:t>
      </w:r>
      <w:r>
        <w:rPr>
          <w:sz w:val="28"/>
          <w:szCs w:val="28"/>
        </w:rPr>
        <w:tab/>
      </w:r>
      <w:r>
        <w:rPr>
          <w:sz w:val="28"/>
          <w:szCs w:val="28"/>
        </w:rPr>
        <w:fldChar w:fldCharType="begin"/>
      </w:r>
      <w:r>
        <w:rPr>
          <w:sz w:val="28"/>
          <w:szCs w:val="28"/>
        </w:rPr>
        <w:instrText xml:space="preserve"> PAGEREF _Toc22127 \h </w:instrText>
      </w:r>
      <w:r>
        <w:rPr>
          <w:sz w:val="28"/>
          <w:szCs w:val="28"/>
        </w:rPr>
        <w:fldChar w:fldCharType="separate"/>
      </w:r>
      <w:r>
        <w:rPr>
          <w:sz w:val="28"/>
          <w:szCs w:val="28"/>
        </w:rPr>
        <w:t>21</w:t>
      </w:r>
      <w:r>
        <w:rPr>
          <w:sz w:val="28"/>
          <w:szCs w:val="28"/>
        </w:rPr>
        <w:fldChar w:fldCharType="end"/>
      </w:r>
      <w:r>
        <w:rPr>
          <w:sz w:val="28"/>
          <w:szCs w:val="28"/>
        </w:rPr>
        <w:fldChar w:fldCharType="end"/>
      </w:r>
    </w:p>
    <w:p>
      <w:pPr>
        <w:pStyle w:val="14"/>
        <w:tabs>
          <w:tab w:val="right" w:leader="dot" w:pos="8845"/>
        </w:tabs>
        <w:snapToGrid w:val="0"/>
        <w:spacing w:line="500" w:lineRule="exact"/>
        <w:ind w:left="0" w:leftChars="0" w:firstLine="480" w:firstLineChars="150"/>
        <w:rPr>
          <w:sz w:val="28"/>
          <w:szCs w:val="28"/>
        </w:rPr>
      </w:pPr>
      <w:r>
        <w:fldChar w:fldCharType="begin"/>
      </w:r>
      <w:r>
        <w:instrText xml:space="preserve"> HYPERLINK \l "_Toc14284" </w:instrText>
      </w:r>
      <w:r>
        <w:fldChar w:fldCharType="separate"/>
      </w:r>
      <w:r>
        <w:rPr>
          <w:rFonts w:hint="eastAsia" w:ascii="楷体" w:hAnsi="楷体" w:eastAsia="楷体" w:cs="楷体"/>
          <w:sz w:val="28"/>
          <w:szCs w:val="28"/>
        </w:rPr>
        <w:t>（三）通信、交通与运输保障</w:t>
      </w:r>
      <w:r>
        <w:rPr>
          <w:sz w:val="28"/>
          <w:szCs w:val="28"/>
        </w:rPr>
        <w:tab/>
      </w:r>
      <w:r>
        <w:rPr>
          <w:sz w:val="28"/>
          <w:szCs w:val="28"/>
        </w:rPr>
        <w:fldChar w:fldCharType="begin"/>
      </w:r>
      <w:r>
        <w:rPr>
          <w:sz w:val="28"/>
          <w:szCs w:val="28"/>
        </w:rPr>
        <w:instrText xml:space="preserve"> PAGEREF _Toc14284 \h </w:instrText>
      </w:r>
      <w:r>
        <w:rPr>
          <w:sz w:val="28"/>
          <w:szCs w:val="28"/>
        </w:rPr>
        <w:fldChar w:fldCharType="separate"/>
      </w:r>
      <w:r>
        <w:rPr>
          <w:sz w:val="28"/>
          <w:szCs w:val="28"/>
        </w:rPr>
        <w:t>21</w:t>
      </w:r>
      <w:r>
        <w:rPr>
          <w:sz w:val="28"/>
          <w:szCs w:val="28"/>
        </w:rPr>
        <w:fldChar w:fldCharType="end"/>
      </w:r>
      <w:r>
        <w:rPr>
          <w:sz w:val="28"/>
          <w:szCs w:val="28"/>
        </w:rPr>
        <w:fldChar w:fldCharType="end"/>
      </w:r>
    </w:p>
    <w:p>
      <w:pPr>
        <w:pStyle w:val="14"/>
        <w:tabs>
          <w:tab w:val="right" w:leader="dot" w:pos="8845"/>
        </w:tabs>
        <w:snapToGrid w:val="0"/>
        <w:spacing w:line="500" w:lineRule="exact"/>
        <w:ind w:left="0" w:leftChars="0" w:firstLine="480" w:firstLineChars="150"/>
        <w:rPr>
          <w:sz w:val="28"/>
          <w:szCs w:val="28"/>
        </w:rPr>
      </w:pPr>
      <w:r>
        <w:fldChar w:fldCharType="begin"/>
      </w:r>
      <w:r>
        <w:instrText xml:space="preserve"> HYPERLINK \l "_Toc18413" </w:instrText>
      </w:r>
      <w:r>
        <w:fldChar w:fldCharType="separate"/>
      </w:r>
      <w:r>
        <w:rPr>
          <w:rFonts w:hint="eastAsia" w:ascii="楷体" w:hAnsi="楷体" w:eastAsia="楷体" w:cs="楷体"/>
          <w:sz w:val="28"/>
          <w:szCs w:val="28"/>
        </w:rPr>
        <w:t>（四）技术保障</w:t>
      </w:r>
      <w:r>
        <w:rPr>
          <w:sz w:val="28"/>
          <w:szCs w:val="28"/>
        </w:rPr>
        <w:tab/>
      </w:r>
      <w:r>
        <w:rPr>
          <w:sz w:val="28"/>
          <w:szCs w:val="28"/>
        </w:rPr>
        <w:fldChar w:fldCharType="begin"/>
      </w:r>
      <w:r>
        <w:rPr>
          <w:sz w:val="28"/>
          <w:szCs w:val="28"/>
        </w:rPr>
        <w:instrText xml:space="preserve"> PAGEREF _Toc18413 \h </w:instrText>
      </w:r>
      <w:r>
        <w:rPr>
          <w:sz w:val="28"/>
          <w:szCs w:val="28"/>
        </w:rPr>
        <w:fldChar w:fldCharType="separate"/>
      </w:r>
      <w:r>
        <w:rPr>
          <w:sz w:val="28"/>
          <w:szCs w:val="28"/>
        </w:rPr>
        <w:t>21</w:t>
      </w:r>
      <w:r>
        <w:rPr>
          <w:sz w:val="28"/>
          <w:szCs w:val="28"/>
        </w:rPr>
        <w:fldChar w:fldCharType="end"/>
      </w:r>
      <w:r>
        <w:rPr>
          <w:sz w:val="28"/>
          <w:szCs w:val="28"/>
        </w:rPr>
        <w:fldChar w:fldCharType="end"/>
      </w:r>
    </w:p>
    <w:p>
      <w:pPr>
        <w:pStyle w:val="14"/>
        <w:tabs>
          <w:tab w:val="right" w:leader="dot" w:pos="8845"/>
        </w:tabs>
        <w:snapToGrid w:val="0"/>
        <w:spacing w:line="500" w:lineRule="exact"/>
        <w:ind w:left="0" w:leftChars="0" w:firstLine="480" w:firstLineChars="150"/>
        <w:rPr>
          <w:sz w:val="28"/>
          <w:szCs w:val="28"/>
        </w:rPr>
      </w:pPr>
      <w:r>
        <w:fldChar w:fldCharType="begin"/>
      </w:r>
      <w:r>
        <w:instrText xml:space="preserve"> HYPERLINK \l "_Toc7887" </w:instrText>
      </w:r>
      <w:r>
        <w:fldChar w:fldCharType="separate"/>
      </w:r>
      <w:r>
        <w:rPr>
          <w:rFonts w:hint="eastAsia" w:ascii="楷体" w:hAnsi="楷体" w:eastAsia="楷体" w:cs="楷体"/>
          <w:sz w:val="28"/>
          <w:szCs w:val="28"/>
        </w:rPr>
        <w:t>（五）应急电源保障</w:t>
      </w:r>
      <w:r>
        <w:rPr>
          <w:sz w:val="28"/>
          <w:szCs w:val="28"/>
        </w:rPr>
        <w:tab/>
      </w:r>
      <w:r>
        <w:rPr>
          <w:sz w:val="28"/>
          <w:szCs w:val="28"/>
        </w:rPr>
        <w:fldChar w:fldCharType="begin"/>
      </w:r>
      <w:r>
        <w:rPr>
          <w:sz w:val="28"/>
          <w:szCs w:val="28"/>
        </w:rPr>
        <w:instrText xml:space="preserve"> PAGEREF _Toc7887 \h </w:instrText>
      </w:r>
      <w:r>
        <w:rPr>
          <w:sz w:val="28"/>
          <w:szCs w:val="28"/>
        </w:rPr>
        <w:fldChar w:fldCharType="separate"/>
      </w:r>
      <w:r>
        <w:rPr>
          <w:sz w:val="28"/>
          <w:szCs w:val="28"/>
        </w:rPr>
        <w:t>22</w:t>
      </w:r>
      <w:r>
        <w:rPr>
          <w:sz w:val="28"/>
          <w:szCs w:val="28"/>
        </w:rPr>
        <w:fldChar w:fldCharType="end"/>
      </w:r>
      <w:r>
        <w:rPr>
          <w:sz w:val="28"/>
          <w:szCs w:val="28"/>
        </w:rPr>
        <w:fldChar w:fldCharType="end"/>
      </w:r>
    </w:p>
    <w:p>
      <w:pPr>
        <w:pStyle w:val="14"/>
        <w:tabs>
          <w:tab w:val="right" w:leader="dot" w:pos="8845"/>
        </w:tabs>
        <w:snapToGrid w:val="0"/>
        <w:spacing w:line="500" w:lineRule="exact"/>
        <w:ind w:left="0" w:leftChars="0" w:firstLine="480" w:firstLineChars="150"/>
        <w:rPr>
          <w:sz w:val="28"/>
          <w:szCs w:val="28"/>
        </w:rPr>
      </w:pPr>
      <w:r>
        <w:fldChar w:fldCharType="begin"/>
      </w:r>
      <w:r>
        <w:instrText xml:space="preserve"> HYPERLINK \l "_Toc22659" </w:instrText>
      </w:r>
      <w:r>
        <w:fldChar w:fldCharType="separate"/>
      </w:r>
      <w:r>
        <w:rPr>
          <w:rFonts w:hint="eastAsia" w:ascii="楷体" w:hAnsi="楷体" w:eastAsia="楷体" w:cs="楷体"/>
          <w:sz w:val="28"/>
          <w:szCs w:val="28"/>
        </w:rPr>
        <w:t>（六）资金保障</w:t>
      </w:r>
      <w:r>
        <w:rPr>
          <w:sz w:val="28"/>
          <w:szCs w:val="28"/>
        </w:rPr>
        <w:tab/>
      </w:r>
      <w:r>
        <w:rPr>
          <w:sz w:val="28"/>
          <w:szCs w:val="28"/>
        </w:rPr>
        <w:fldChar w:fldCharType="begin"/>
      </w:r>
      <w:r>
        <w:rPr>
          <w:sz w:val="28"/>
          <w:szCs w:val="28"/>
        </w:rPr>
        <w:instrText xml:space="preserve"> PAGEREF _Toc22659 \h </w:instrText>
      </w:r>
      <w:r>
        <w:rPr>
          <w:sz w:val="28"/>
          <w:szCs w:val="28"/>
        </w:rPr>
        <w:fldChar w:fldCharType="separate"/>
      </w:r>
      <w:r>
        <w:rPr>
          <w:sz w:val="28"/>
          <w:szCs w:val="28"/>
        </w:rPr>
        <w:t>22</w:t>
      </w:r>
      <w:r>
        <w:rPr>
          <w:sz w:val="28"/>
          <w:szCs w:val="28"/>
        </w:rPr>
        <w:fldChar w:fldCharType="end"/>
      </w:r>
      <w:r>
        <w:rPr>
          <w:sz w:val="28"/>
          <w:szCs w:val="28"/>
        </w:rPr>
        <w:fldChar w:fldCharType="end"/>
      </w:r>
    </w:p>
    <w:p>
      <w:pPr>
        <w:pStyle w:val="13"/>
        <w:tabs>
          <w:tab w:val="right" w:leader="dot" w:pos="8845"/>
        </w:tabs>
        <w:snapToGrid w:val="0"/>
        <w:spacing w:line="500" w:lineRule="exact"/>
        <w:rPr>
          <w:sz w:val="28"/>
          <w:szCs w:val="28"/>
        </w:rPr>
      </w:pPr>
      <w:r>
        <w:fldChar w:fldCharType="begin"/>
      </w:r>
      <w:r>
        <w:instrText xml:space="preserve"> HYPERLINK \l "_Toc13258" </w:instrText>
      </w:r>
      <w:r>
        <w:fldChar w:fldCharType="separate"/>
      </w:r>
      <w:r>
        <w:rPr>
          <w:rFonts w:hint="eastAsia" w:ascii="黑体" w:hAnsi="黑体" w:eastAsia="黑体" w:cs="黑体"/>
          <w:sz w:val="28"/>
          <w:szCs w:val="28"/>
        </w:rPr>
        <w:t>七、宣教培训和演练</w:t>
      </w:r>
      <w:r>
        <w:rPr>
          <w:sz w:val="28"/>
          <w:szCs w:val="28"/>
        </w:rPr>
        <w:tab/>
      </w:r>
      <w:r>
        <w:rPr>
          <w:sz w:val="28"/>
          <w:szCs w:val="28"/>
        </w:rPr>
        <w:fldChar w:fldCharType="begin"/>
      </w:r>
      <w:r>
        <w:rPr>
          <w:sz w:val="28"/>
          <w:szCs w:val="28"/>
        </w:rPr>
        <w:instrText xml:space="preserve"> PAGEREF _Toc13258 \h </w:instrText>
      </w:r>
      <w:r>
        <w:rPr>
          <w:sz w:val="28"/>
          <w:szCs w:val="28"/>
        </w:rPr>
        <w:fldChar w:fldCharType="separate"/>
      </w:r>
      <w:r>
        <w:rPr>
          <w:sz w:val="28"/>
          <w:szCs w:val="28"/>
        </w:rPr>
        <w:t>22</w:t>
      </w:r>
      <w:r>
        <w:rPr>
          <w:sz w:val="28"/>
          <w:szCs w:val="28"/>
        </w:rPr>
        <w:fldChar w:fldCharType="end"/>
      </w:r>
      <w:r>
        <w:rPr>
          <w:sz w:val="28"/>
          <w:szCs w:val="28"/>
        </w:rPr>
        <w:fldChar w:fldCharType="end"/>
      </w:r>
    </w:p>
    <w:p>
      <w:pPr>
        <w:pStyle w:val="14"/>
        <w:tabs>
          <w:tab w:val="right" w:leader="dot" w:pos="8845"/>
        </w:tabs>
        <w:snapToGrid w:val="0"/>
        <w:spacing w:line="500" w:lineRule="exact"/>
        <w:ind w:left="0" w:leftChars="0" w:firstLine="480" w:firstLineChars="150"/>
        <w:rPr>
          <w:sz w:val="28"/>
          <w:szCs w:val="28"/>
        </w:rPr>
      </w:pPr>
      <w:r>
        <w:fldChar w:fldCharType="begin"/>
      </w:r>
      <w:r>
        <w:instrText xml:space="preserve"> HYPERLINK \l "_Toc32383" </w:instrText>
      </w:r>
      <w:r>
        <w:fldChar w:fldCharType="separate"/>
      </w:r>
      <w:r>
        <w:rPr>
          <w:rFonts w:hint="eastAsia" w:ascii="楷体" w:hAnsi="楷体" w:eastAsia="楷体" w:cs="楷体"/>
          <w:sz w:val="28"/>
          <w:szCs w:val="28"/>
        </w:rPr>
        <w:t>（一）宣传教育</w:t>
      </w:r>
      <w:r>
        <w:rPr>
          <w:sz w:val="28"/>
          <w:szCs w:val="28"/>
        </w:rPr>
        <w:tab/>
      </w:r>
      <w:r>
        <w:rPr>
          <w:sz w:val="28"/>
          <w:szCs w:val="28"/>
        </w:rPr>
        <w:fldChar w:fldCharType="begin"/>
      </w:r>
      <w:r>
        <w:rPr>
          <w:sz w:val="28"/>
          <w:szCs w:val="28"/>
        </w:rPr>
        <w:instrText xml:space="preserve"> PAGEREF _Toc32383 \h </w:instrText>
      </w:r>
      <w:r>
        <w:rPr>
          <w:sz w:val="28"/>
          <w:szCs w:val="28"/>
        </w:rPr>
        <w:fldChar w:fldCharType="separate"/>
      </w:r>
      <w:r>
        <w:rPr>
          <w:sz w:val="28"/>
          <w:szCs w:val="28"/>
        </w:rPr>
        <w:t>22</w:t>
      </w:r>
      <w:r>
        <w:rPr>
          <w:sz w:val="28"/>
          <w:szCs w:val="28"/>
        </w:rPr>
        <w:fldChar w:fldCharType="end"/>
      </w:r>
      <w:r>
        <w:rPr>
          <w:sz w:val="28"/>
          <w:szCs w:val="28"/>
        </w:rPr>
        <w:fldChar w:fldCharType="end"/>
      </w:r>
    </w:p>
    <w:p>
      <w:pPr>
        <w:pStyle w:val="14"/>
        <w:tabs>
          <w:tab w:val="right" w:leader="dot" w:pos="8845"/>
        </w:tabs>
        <w:snapToGrid w:val="0"/>
        <w:spacing w:line="500" w:lineRule="exact"/>
        <w:ind w:left="0" w:leftChars="0" w:firstLine="480" w:firstLineChars="150"/>
        <w:rPr>
          <w:sz w:val="28"/>
          <w:szCs w:val="28"/>
        </w:rPr>
      </w:pPr>
      <w:r>
        <w:fldChar w:fldCharType="begin"/>
      </w:r>
      <w:r>
        <w:instrText xml:space="preserve"> HYPERLINK \l "_Toc26543" </w:instrText>
      </w:r>
      <w:r>
        <w:fldChar w:fldCharType="separate"/>
      </w:r>
      <w:r>
        <w:rPr>
          <w:rFonts w:hint="eastAsia" w:ascii="楷体" w:hAnsi="楷体" w:eastAsia="楷体" w:cs="楷体"/>
          <w:sz w:val="28"/>
          <w:szCs w:val="28"/>
        </w:rPr>
        <w:t>（二）培训</w:t>
      </w:r>
      <w:r>
        <w:rPr>
          <w:sz w:val="28"/>
          <w:szCs w:val="28"/>
        </w:rPr>
        <w:tab/>
      </w:r>
      <w:r>
        <w:rPr>
          <w:sz w:val="28"/>
          <w:szCs w:val="28"/>
        </w:rPr>
        <w:fldChar w:fldCharType="begin"/>
      </w:r>
      <w:r>
        <w:rPr>
          <w:sz w:val="28"/>
          <w:szCs w:val="28"/>
        </w:rPr>
        <w:instrText xml:space="preserve"> PAGEREF _Toc26543 \h </w:instrText>
      </w:r>
      <w:r>
        <w:rPr>
          <w:sz w:val="28"/>
          <w:szCs w:val="28"/>
        </w:rPr>
        <w:fldChar w:fldCharType="separate"/>
      </w:r>
      <w:r>
        <w:rPr>
          <w:sz w:val="28"/>
          <w:szCs w:val="28"/>
        </w:rPr>
        <w:t>22</w:t>
      </w:r>
      <w:r>
        <w:rPr>
          <w:sz w:val="28"/>
          <w:szCs w:val="28"/>
        </w:rPr>
        <w:fldChar w:fldCharType="end"/>
      </w:r>
      <w:r>
        <w:rPr>
          <w:sz w:val="28"/>
          <w:szCs w:val="28"/>
        </w:rPr>
        <w:fldChar w:fldCharType="end"/>
      </w:r>
    </w:p>
    <w:p>
      <w:pPr>
        <w:pStyle w:val="14"/>
        <w:tabs>
          <w:tab w:val="right" w:leader="dot" w:pos="8845"/>
        </w:tabs>
        <w:snapToGrid w:val="0"/>
        <w:spacing w:line="500" w:lineRule="exact"/>
        <w:ind w:left="0" w:leftChars="0" w:firstLine="480" w:firstLineChars="150"/>
        <w:rPr>
          <w:sz w:val="28"/>
          <w:szCs w:val="28"/>
        </w:rPr>
      </w:pPr>
      <w:r>
        <w:fldChar w:fldCharType="begin"/>
      </w:r>
      <w:r>
        <w:instrText xml:space="preserve"> HYPERLINK \l "_Toc29538" </w:instrText>
      </w:r>
      <w:r>
        <w:fldChar w:fldCharType="separate"/>
      </w:r>
      <w:r>
        <w:rPr>
          <w:rFonts w:hint="eastAsia" w:ascii="楷体" w:hAnsi="楷体" w:eastAsia="楷体" w:cs="楷体"/>
          <w:sz w:val="28"/>
          <w:szCs w:val="28"/>
        </w:rPr>
        <w:t>（三）预案演练</w:t>
      </w:r>
      <w:r>
        <w:rPr>
          <w:sz w:val="28"/>
          <w:szCs w:val="28"/>
        </w:rPr>
        <w:tab/>
      </w:r>
      <w:r>
        <w:rPr>
          <w:sz w:val="28"/>
          <w:szCs w:val="28"/>
        </w:rPr>
        <w:fldChar w:fldCharType="begin"/>
      </w:r>
      <w:r>
        <w:rPr>
          <w:sz w:val="28"/>
          <w:szCs w:val="28"/>
        </w:rPr>
        <w:instrText xml:space="preserve"> PAGEREF _Toc29538 \h </w:instrText>
      </w:r>
      <w:r>
        <w:rPr>
          <w:sz w:val="28"/>
          <w:szCs w:val="28"/>
        </w:rPr>
        <w:fldChar w:fldCharType="separate"/>
      </w:r>
      <w:r>
        <w:rPr>
          <w:sz w:val="28"/>
          <w:szCs w:val="28"/>
        </w:rPr>
        <w:t>23</w:t>
      </w:r>
      <w:r>
        <w:rPr>
          <w:sz w:val="28"/>
          <w:szCs w:val="28"/>
        </w:rPr>
        <w:fldChar w:fldCharType="end"/>
      </w:r>
      <w:r>
        <w:rPr>
          <w:sz w:val="28"/>
          <w:szCs w:val="28"/>
        </w:rPr>
        <w:fldChar w:fldCharType="end"/>
      </w:r>
    </w:p>
    <w:p>
      <w:pPr>
        <w:pStyle w:val="9"/>
        <w:tabs>
          <w:tab w:val="right" w:leader="dot" w:pos="8845"/>
        </w:tabs>
        <w:snapToGrid w:val="0"/>
        <w:spacing w:line="500" w:lineRule="exact"/>
        <w:ind w:leftChars="0"/>
        <w:rPr>
          <w:sz w:val="28"/>
          <w:szCs w:val="28"/>
        </w:rPr>
        <w:sectPr>
          <w:headerReference r:id="rId5" w:type="default"/>
          <w:footerReference r:id="rId6" w:type="default"/>
          <w:pgSz w:w="11906" w:h="16838"/>
          <w:pgMar w:top="2098" w:right="1474" w:bottom="1984" w:left="1587" w:header="851" w:footer="1531" w:gutter="0"/>
          <w:pgNumType w:fmt="upperRoman" w:start="1"/>
          <w:cols w:space="720" w:num="1"/>
          <w:docGrid w:type="lines" w:linePitch="312" w:charSpace="0"/>
        </w:sectPr>
      </w:pPr>
      <w:r>
        <w:rPr>
          <w:rFonts w:hint="eastAsia"/>
          <w:sz w:val="28"/>
          <w:szCs w:val="28"/>
        </w:rPr>
        <w:fldChar w:fldCharType="end"/>
      </w:r>
    </w:p>
    <w:p>
      <w:pPr>
        <w:keepLines w:val="0"/>
        <w:pageBreakBefore w:val="0"/>
        <w:widowControl w:val="0"/>
        <w:kinsoku/>
        <w:wordWrap/>
        <w:overflowPunct/>
        <w:topLinePunct w:val="0"/>
        <w:autoSpaceDE/>
        <w:autoSpaceDN/>
        <w:bidi w:val="0"/>
        <w:adjustRightInd/>
        <w:snapToGrid/>
        <w:ind w:firstLine="632"/>
        <w:textAlignment w:val="auto"/>
        <w:outlineLvl w:val="0"/>
        <w:rPr>
          <w:rStyle w:val="20"/>
          <w:rFonts w:ascii="黑体" w:hAnsi="黑体" w:cs="黑体"/>
          <w:b w:val="0"/>
          <w:bCs w:val="0"/>
          <w:highlight w:val="none"/>
        </w:rPr>
      </w:pPr>
      <w:bookmarkStart w:id="0" w:name="_Toc2705"/>
      <w:bookmarkStart w:id="1" w:name="_Toc25985"/>
      <w:r>
        <w:rPr>
          <w:rStyle w:val="20"/>
          <w:rFonts w:hint="eastAsia" w:ascii="黑体" w:hAnsi="黑体" w:cs="黑体"/>
          <w:b w:val="0"/>
          <w:bCs w:val="0"/>
          <w:highlight w:val="none"/>
        </w:rPr>
        <w:t>一、总则</w:t>
      </w:r>
      <w:bookmarkEnd w:id="0"/>
    </w:p>
    <w:bookmarkEnd w:id="1"/>
    <w:p>
      <w:pPr>
        <w:pStyle w:val="4"/>
        <w:keepLines w:val="0"/>
        <w:pageBreakBefore w:val="0"/>
        <w:widowControl w:val="0"/>
        <w:kinsoku/>
        <w:wordWrap/>
        <w:overflowPunct/>
        <w:topLinePunct w:val="0"/>
        <w:autoSpaceDE/>
        <w:autoSpaceDN/>
        <w:bidi w:val="0"/>
        <w:adjustRightInd/>
        <w:snapToGrid/>
        <w:ind w:firstLine="632"/>
        <w:textAlignment w:val="auto"/>
        <w:rPr>
          <w:rFonts w:ascii="楷体" w:hAnsi="楷体" w:cs="楷体"/>
          <w:b w:val="0"/>
          <w:highlight w:val="none"/>
        </w:rPr>
      </w:pPr>
      <w:bookmarkStart w:id="2" w:name="_Toc10757"/>
      <w:bookmarkStart w:id="3" w:name="_Toc16055"/>
      <w:r>
        <w:rPr>
          <w:rFonts w:hint="eastAsia" w:ascii="楷体" w:hAnsi="楷体" w:cs="楷体"/>
          <w:b w:val="0"/>
          <w:highlight w:val="none"/>
        </w:rPr>
        <w:t>（一）编制目的</w:t>
      </w:r>
      <w:bookmarkEnd w:id="2"/>
      <w:bookmarkEnd w:id="3"/>
    </w:p>
    <w:p>
      <w:pPr>
        <w:keepLines w:val="0"/>
        <w:pageBreakBefore w:val="0"/>
        <w:widowControl w:val="0"/>
        <w:kinsoku/>
        <w:wordWrap/>
        <w:overflowPunct/>
        <w:topLinePunct w:val="0"/>
        <w:autoSpaceDE/>
        <w:autoSpaceDN/>
        <w:bidi w:val="0"/>
        <w:adjustRightInd/>
        <w:snapToGrid/>
        <w:ind w:firstLine="632"/>
        <w:textAlignment w:val="auto"/>
        <w:rPr>
          <w:highlight w:val="none"/>
        </w:rPr>
      </w:pPr>
      <w:r>
        <w:rPr>
          <w:rFonts w:hint="eastAsia"/>
          <w:highlight w:val="none"/>
        </w:rPr>
        <w:t>为建立健全大面积停电事件应对工作机制，正确、高效、快速处置大面积停电事件，最大程度减少影响和损失，保障电网安全稳定和可靠供电，维护</w:t>
      </w:r>
      <w:r>
        <w:rPr>
          <w:rFonts w:hint="eastAsia"/>
          <w:highlight w:val="none"/>
          <w:lang w:eastAsia="zh-CN"/>
        </w:rPr>
        <w:t>全市</w:t>
      </w:r>
      <w:r>
        <w:rPr>
          <w:rFonts w:hint="eastAsia"/>
          <w:highlight w:val="none"/>
        </w:rPr>
        <w:t>社会稳定和人民生命财产安全，特编制本预案。</w:t>
      </w:r>
    </w:p>
    <w:p>
      <w:pPr>
        <w:pStyle w:val="4"/>
        <w:keepLines w:val="0"/>
        <w:pageBreakBefore w:val="0"/>
        <w:widowControl w:val="0"/>
        <w:kinsoku/>
        <w:wordWrap/>
        <w:overflowPunct/>
        <w:topLinePunct w:val="0"/>
        <w:autoSpaceDE/>
        <w:autoSpaceDN/>
        <w:bidi w:val="0"/>
        <w:adjustRightInd/>
        <w:snapToGrid/>
        <w:ind w:firstLine="632"/>
        <w:textAlignment w:val="auto"/>
        <w:rPr>
          <w:rFonts w:ascii="楷体" w:hAnsi="楷体" w:cs="楷体"/>
          <w:b w:val="0"/>
          <w:highlight w:val="none"/>
        </w:rPr>
      </w:pPr>
      <w:bookmarkStart w:id="4" w:name="_Toc1054"/>
      <w:bookmarkStart w:id="5" w:name="_Toc29256"/>
      <w:r>
        <w:rPr>
          <w:rFonts w:hint="eastAsia" w:ascii="楷体" w:hAnsi="楷体" w:cs="楷体"/>
          <w:b w:val="0"/>
          <w:highlight w:val="none"/>
        </w:rPr>
        <w:t>（二）编制依据</w:t>
      </w:r>
      <w:bookmarkEnd w:id="4"/>
      <w:bookmarkEnd w:id="5"/>
    </w:p>
    <w:p>
      <w:pPr>
        <w:keepLines w:val="0"/>
        <w:pageBreakBefore w:val="0"/>
        <w:widowControl w:val="0"/>
        <w:kinsoku/>
        <w:wordWrap/>
        <w:overflowPunct/>
        <w:topLinePunct w:val="0"/>
        <w:autoSpaceDE/>
        <w:autoSpaceDN/>
        <w:bidi w:val="0"/>
        <w:adjustRightInd/>
        <w:snapToGrid/>
        <w:ind w:firstLine="632"/>
        <w:textAlignment w:val="auto"/>
        <w:rPr>
          <w:highlight w:val="none"/>
        </w:rPr>
      </w:pPr>
      <w:r>
        <w:rPr>
          <w:rFonts w:hint="eastAsia"/>
          <w:highlight w:val="none"/>
        </w:rPr>
        <w:t>依据《中华人民共和国突发事件应对法》《中华人民共和国安全生产法》《中华人民共和国电力法》</w:t>
      </w:r>
      <w:r>
        <w:rPr>
          <w:rFonts w:hint="eastAsia"/>
          <w:highlight w:val="none"/>
          <w:lang w:eastAsia="zh-CN"/>
        </w:rPr>
        <w:t>《突发事件应急预案管理办法》</w:t>
      </w:r>
      <w:r>
        <w:rPr>
          <w:rFonts w:hint="eastAsia"/>
          <w:highlight w:val="none"/>
        </w:rPr>
        <w:t>《生产安全事故应急条例》《生产安全事故报告和调查处理条例》《电力安全事故应急处置和调查处理条例》《电网调度管理条例》《国家大面积停电事件应急预案》</w:t>
      </w:r>
      <w:r>
        <w:rPr>
          <w:rFonts w:hint="eastAsia"/>
          <w:highlight w:val="none"/>
          <w:lang w:eastAsia="zh-CN"/>
        </w:rPr>
        <w:t>《吉林省大面积停电事件应急预案》</w:t>
      </w:r>
      <w:r>
        <w:rPr>
          <w:rFonts w:hint="eastAsia"/>
          <w:highlight w:val="none"/>
        </w:rPr>
        <w:t>《</w:t>
      </w:r>
      <w:r>
        <w:rPr>
          <w:rFonts w:hint="eastAsia"/>
          <w:highlight w:val="none"/>
          <w:lang w:eastAsia="zh-CN"/>
        </w:rPr>
        <w:t>通化</w:t>
      </w:r>
      <w:r>
        <w:rPr>
          <w:rFonts w:hint="eastAsia"/>
          <w:highlight w:val="none"/>
        </w:rPr>
        <w:t>市突发事件总体应急预案》等相关法律法规，制定本预案。</w:t>
      </w:r>
    </w:p>
    <w:p>
      <w:pPr>
        <w:pStyle w:val="4"/>
        <w:keepLines w:val="0"/>
        <w:pageBreakBefore w:val="0"/>
        <w:widowControl w:val="0"/>
        <w:kinsoku/>
        <w:wordWrap/>
        <w:overflowPunct/>
        <w:topLinePunct w:val="0"/>
        <w:autoSpaceDE/>
        <w:autoSpaceDN/>
        <w:bidi w:val="0"/>
        <w:adjustRightInd/>
        <w:snapToGrid/>
        <w:ind w:firstLine="632"/>
        <w:textAlignment w:val="auto"/>
        <w:rPr>
          <w:rFonts w:ascii="楷体" w:hAnsi="楷体" w:cs="楷体"/>
          <w:b w:val="0"/>
          <w:highlight w:val="none"/>
        </w:rPr>
      </w:pPr>
      <w:bookmarkStart w:id="6" w:name="_Toc20454"/>
      <w:bookmarkStart w:id="7" w:name="_Toc30052"/>
      <w:r>
        <w:rPr>
          <w:rFonts w:hint="eastAsia" w:ascii="楷体" w:hAnsi="楷体" w:cs="楷体"/>
          <w:b w:val="0"/>
          <w:highlight w:val="none"/>
        </w:rPr>
        <w:t>（三）适用范围</w:t>
      </w:r>
      <w:bookmarkEnd w:id="6"/>
      <w:bookmarkEnd w:id="7"/>
    </w:p>
    <w:p>
      <w:pPr>
        <w:keepLines w:val="0"/>
        <w:pageBreakBefore w:val="0"/>
        <w:widowControl w:val="0"/>
        <w:kinsoku/>
        <w:wordWrap/>
        <w:overflowPunct/>
        <w:topLinePunct w:val="0"/>
        <w:autoSpaceDE/>
        <w:autoSpaceDN/>
        <w:bidi w:val="0"/>
        <w:adjustRightInd/>
        <w:snapToGrid/>
        <w:ind w:firstLine="632"/>
        <w:textAlignment w:val="auto"/>
        <w:rPr>
          <w:highlight w:val="none"/>
        </w:rPr>
      </w:pPr>
      <w:r>
        <w:rPr>
          <w:rFonts w:hint="eastAsia"/>
          <w:highlight w:val="none"/>
        </w:rPr>
        <w:t>本预案适用于</w:t>
      </w:r>
      <w:r>
        <w:rPr>
          <w:rFonts w:hint="eastAsia"/>
          <w:highlight w:val="none"/>
          <w:lang w:eastAsia="zh-CN"/>
        </w:rPr>
        <w:t>通化</w:t>
      </w:r>
      <w:r>
        <w:rPr>
          <w:rFonts w:hint="eastAsia"/>
          <w:highlight w:val="none"/>
        </w:rPr>
        <w:t>市行政区域内发生大面积停电事件应对工作。大面积停电事件是指由于自然灾害、电力安全事故和外力破坏等原因造成</w:t>
      </w:r>
      <w:r>
        <w:rPr>
          <w:rFonts w:hint="eastAsia"/>
          <w:highlight w:val="none"/>
          <w:lang w:eastAsia="zh-CN"/>
        </w:rPr>
        <w:t>通化</w:t>
      </w:r>
      <w:r>
        <w:rPr>
          <w:rFonts w:hint="eastAsia"/>
          <w:highlight w:val="none"/>
        </w:rPr>
        <w:t>市电网或县级电网大量减供负荷，对国家安全、社会稳定及人民群众生产生活造成影响和威胁的停电事件。</w:t>
      </w:r>
    </w:p>
    <w:p>
      <w:pPr>
        <w:pStyle w:val="4"/>
        <w:keepLines w:val="0"/>
        <w:pageBreakBefore w:val="0"/>
        <w:widowControl w:val="0"/>
        <w:kinsoku/>
        <w:wordWrap/>
        <w:overflowPunct/>
        <w:topLinePunct w:val="0"/>
        <w:autoSpaceDE/>
        <w:autoSpaceDN/>
        <w:bidi w:val="0"/>
        <w:adjustRightInd/>
        <w:snapToGrid/>
        <w:ind w:firstLine="632"/>
        <w:textAlignment w:val="auto"/>
        <w:rPr>
          <w:rFonts w:ascii="楷体" w:hAnsi="楷体" w:cs="楷体"/>
          <w:b w:val="0"/>
          <w:highlight w:val="none"/>
        </w:rPr>
      </w:pPr>
      <w:bookmarkStart w:id="8" w:name="_Toc26644"/>
      <w:bookmarkStart w:id="9" w:name="_Toc27720"/>
      <w:r>
        <w:rPr>
          <w:rFonts w:hint="eastAsia" w:ascii="楷体" w:hAnsi="楷体" w:cs="楷体"/>
          <w:b w:val="0"/>
          <w:highlight w:val="none"/>
        </w:rPr>
        <w:t>（四）工作原则</w:t>
      </w:r>
      <w:bookmarkEnd w:id="8"/>
      <w:bookmarkEnd w:id="9"/>
    </w:p>
    <w:p>
      <w:pPr>
        <w:keepLines w:val="0"/>
        <w:pageBreakBefore w:val="0"/>
        <w:widowControl w:val="0"/>
        <w:kinsoku/>
        <w:wordWrap/>
        <w:overflowPunct/>
        <w:topLinePunct w:val="0"/>
        <w:autoSpaceDE/>
        <w:autoSpaceDN/>
        <w:bidi w:val="0"/>
        <w:adjustRightInd/>
        <w:snapToGrid/>
        <w:ind w:firstLine="632"/>
        <w:textAlignment w:val="auto"/>
        <w:rPr>
          <w:highlight w:val="none"/>
        </w:rPr>
      </w:pPr>
      <w:r>
        <w:rPr>
          <w:rFonts w:hint="eastAsia"/>
          <w:highlight w:val="none"/>
        </w:rPr>
        <w:t>大面积停电事件发生后，按照“政府为主导，电力企业为处置主体”的原则，事发地县级以上人民政府及其相关部门、电力企业、重要电力用户应立即按照职责分工和相关预案开展处置工作，大面积停电事件应对工作应做到统一领导、综合协调，属地为主、分工负责，保证重点、依靠科技，保障民生、维护安全。</w:t>
      </w:r>
    </w:p>
    <w:p>
      <w:pPr>
        <w:pStyle w:val="4"/>
        <w:keepLines w:val="0"/>
        <w:pageBreakBefore w:val="0"/>
        <w:widowControl w:val="0"/>
        <w:kinsoku/>
        <w:wordWrap/>
        <w:overflowPunct/>
        <w:topLinePunct w:val="0"/>
        <w:autoSpaceDE/>
        <w:autoSpaceDN/>
        <w:bidi w:val="0"/>
        <w:adjustRightInd/>
        <w:snapToGrid/>
        <w:ind w:firstLine="632"/>
        <w:textAlignment w:val="auto"/>
        <w:rPr>
          <w:rFonts w:hint="eastAsia" w:ascii="楷体" w:hAnsi="楷体" w:eastAsia="楷体" w:cs="楷体"/>
          <w:b w:val="0"/>
          <w:highlight w:val="none"/>
          <w:lang w:eastAsia="zh-CN"/>
        </w:rPr>
      </w:pPr>
      <w:bookmarkStart w:id="10" w:name="_Toc11502"/>
      <w:bookmarkStart w:id="11" w:name="_Toc23778"/>
      <w:r>
        <w:rPr>
          <w:rFonts w:hint="eastAsia" w:ascii="楷体" w:hAnsi="楷体" w:cs="楷体"/>
          <w:b w:val="0"/>
          <w:highlight w:val="none"/>
        </w:rPr>
        <w:t>（五）事件分级</w:t>
      </w:r>
      <w:bookmarkEnd w:id="10"/>
      <w:bookmarkEnd w:id="11"/>
      <w:r>
        <w:rPr>
          <w:rFonts w:hint="eastAsia" w:ascii="楷体" w:hAnsi="楷体" w:cs="楷体"/>
          <w:b w:val="0"/>
          <w:highlight w:val="none"/>
          <w:lang w:eastAsia="zh-CN"/>
        </w:rPr>
        <w:t>与分级应对</w:t>
      </w:r>
    </w:p>
    <w:p>
      <w:pPr>
        <w:keepLines w:val="0"/>
        <w:pageBreakBefore w:val="0"/>
        <w:widowControl w:val="0"/>
        <w:kinsoku/>
        <w:wordWrap/>
        <w:overflowPunct/>
        <w:topLinePunct w:val="0"/>
        <w:autoSpaceDE/>
        <w:autoSpaceDN/>
        <w:bidi w:val="0"/>
        <w:adjustRightInd/>
        <w:snapToGrid/>
        <w:ind w:firstLine="632"/>
        <w:textAlignment w:val="auto"/>
        <w:rPr>
          <w:rFonts w:hint="default" w:eastAsia="仿宋"/>
          <w:b/>
          <w:bCs/>
          <w:highlight w:val="none"/>
          <w:lang w:val="en-US" w:eastAsia="zh-CN"/>
        </w:rPr>
      </w:pPr>
      <w:r>
        <w:rPr>
          <w:rFonts w:hint="default" w:ascii="Times New Roman" w:hAnsi="Times New Roman" w:cs="Times New Roman"/>
          <w:b w:val="0"/>
          <w:bCs w:val="0"/>
          <w:highlight w:val="none"/>
          <w:lang w:val="en-US" w:eastAsia="zh-CN"/>
        </w:rPr>
        <w:t>1.</w:t>
      </w:r>
      <w:r>
        <w:rPr>
          <w:rFonts w:hint="eastAsia"/>
          <w:b/>
          <w:bCs/>
          <w:highlight w:val="none"/>
          <w:lang w:val="en-US" w:eastAsia="zh-CN"/>
        </w:rPr>
        <w:t>事件分级</w:t>
      </w:r>
    </w:p>
    <w:p>
      <w:pPr>
        <w:keepLines w:val="0"/>
        <w:pageBreakBefore w:val="0"/>
        <w:widowControl w:val="0"/>
        <w:kinsoku/>
        <w:wordWrap/>
        <w:overflowPunct/>
        <w:topLinePunct w:val="0"/>
        <w:autoSpaceDE/>
        <w:autoSpaceDN/>
        <w:bidi w:val="0"/>
        <w:adjustRightInd/>
        <w:snapToGrid/>
        <w:ind w:firstLine="632"/>
        <w:textAlignment w:val="auto"/>
        <w:rPr>
          <w:rFonts w:hint="eastAsia"/>
          <w:highlight w:val="none"/>
        </w:rPr>
      </w:pPr>
      <w:r>
        <w:rPr>
          <w:rFonts w:hint="eastAsia"/>
          <w:highlight w:val="none"/>
        </w:rPr>
        <w:t>大面积停电事件根据其造成的危害程度、影响范围等因素，分为特别重大、重大、较大、一般四级，分级标准依据《电力安全事故应急处置和调查处理条例》，分级标准见附件</w:t>
      </w:r>
      <w:r>
        <w:rPr>
          <w:rFonts w:ascii="Times New Roman" w:hAnsi="Times New Roman" w:cs="Times New Roman"/>
          <w:highlight w:val="none"/>
        </w:rPr>
        <w:t>1</w:t>
      </w:r>
      <w:r>
        <w:rPr>
          <w:rFonts w:hint="eastAsia"/>
          <w:highlight w:val="none"/>
        </w:rPr>
        <w:t>。</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32" w:firstLineChars="200"/>
        <w:textAlignment w:val="auto"/>
        <w:rPr>
          <w:rFonts w:hint="eastAsia"/>
          <w:b/>
          <w:bCs/>
          <w:highlight w:val="none"/>
          <w:lang w:val="en-US" w:eastAsia="zh-CN"/>
        </w:rPr>
      </w:pPr>
      <w:r>
        <w:rPr>
          <w:rFonts w:hint="default" w:ascii="Times New Roman" w:hAnsi="Times New Roman" w:cs="Times New Roman"/>
          <w:b w:val="0"/>
          <w:bCs w:val="0"/>
          <w:highlight w:val="none"/>
          <w:lang w:val="en-US" w:eastAsia="zh-CN"/>
        </w:rPr>
        <w:t>2.</w:t>
      </w:r>
      <w:r>
        <w:rPr>
          <w:rFonts w:hint="eastAsia"/>
          <w:b/>
          <w:bCs/>
          <w:highlight w:val="none"/>
          <w:lang w:val="en-US" w:eastAsia="zh-CN"/>
        </w:rPr>
        <w:t>分级应对</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highlight w:val="none"/>
          <w:lang w:val="en-US" w:eastAsia="zh-CN"/>
        </w:rPr>
      </w:pPr>
      <w:r>
        <w:rPr>
          <w:rFonts w:hint="eastAsia"/>
          <w:highlight w:val="none"/>
          <w:lang w:val="en-US" w:eastAsia="zh-CN"/>
        </w:rPr>
        <w:t xml:space="preserve">    当突发事件超出属地政府应对能力时，由上一级政府提供支援或者负责应对。初判发生特别重大和重大大面积停电事件时，由省政府负责应对。较大和一般突发事件分别由市（州）和县（市）区政府负责应对。</w:t>
      </w:r>
    </w:p>
    <w:p>
      <w:pPr>
        <w:pStyle w:val="4"/>
        <w:keepLines w:val="0"/>
        <w:pageBreakBefore w:val="0"/>
        <w:widowControl w:val="0"/>
        <w:kinsoku/>
        <w:wordWrap/>
        <w:overflowPunct/>
        <w:topLinePunct w:val="0"/>
        <w:autoSpaceDE/>
        <w:autoSpaceDN/>
        <w:bidi w:val="0"/>
        <w:adjustRightInd/>
        <w:snapToGrid/>
        <w:ind w:firstLine="632"/>
        <w:textAlignment w:val="auto"/>
        <w:rPr>
          <w:rFonts w:ascii="楷体" w:hAnsi="楷体" w:cs="楷体"/>
          <w:b w:val="0"/>
          <w:highlight w:val="none"/>
        </w:rPr>
      </w:pPr>
      <w:bookmarkStart w:id="12" w:name="_Toc18821"/>
      <w:bookmarkStart w:id="13" w:name="_Toc30284"/>
      <w:r>
        <w:rPr>
          <w:rFonts w:hint="eastAsia" w:ascii="楷体" w:hAnsi="楷体" w:cs="楷体"/>
          <w:b w:val="0"/>
          <w:highlight w:val="none"/>
        </w:rPr>
        <w:t>（六）预案体系</w:t>
      </w:r>
      <w:bookmarkEnd w:id="12"/>
      <w:bookmarkEnd w:id="13"/>
    </w:p>
    <w:p>
      <w:pPr>
        <w:keepLines w:val="0"/>
        <w:pageBreakBefore w:val="0"/>
        <w:widowControl w:val="0"/>
        <w:kinsoku/>
        <w:wordWrap/>
        <w:overflowPunct/>
        <w:topLinePunct w:val="0"/>
        <w:autoSpaceDE/>
        <w:autoSpaceDN/>
        <w:bidi w:val="0"/>
        <w:adjustRightInd/>
        <w:snapToGrid/>
        <w:ind w:firstLine="632"/>
        <w:textAlignment w:val="auto"/>
        <w:rPr>
          <w:highlight w:val="none"/>
        </w:rPr>
      </w:pPr>
      <w:r>
        <w:rPr>
          <w:rFonts w:hint="eastAsia"/>
          <w:highlight w:val="none"/>
        </w:rPr>
        <w:t>本预案是</w:t>
      </w:r>
      <w:r>
        <w:rPr>
          <w:rFonts w:hint="eastAsia"/>
          <w:highlight w:val="none"/>
          <w:lang w:eastAsia="zh-CN"/>
        </w:rPr>
        <w:t>通化</w:t>
      </w:r>
      <w:r>
        <w:rPr>
          <w:rFonts w:hint="eastAsia"/>
          <w:highlight w:val="none"/>
        </w:rPr>
        <w:t>市应对大面积停电事件而制定的专项应急预案，在《</w:t>
      </w:r>
      <w:r>
        <w:rPr>
          <w:rFonts w:hint="eastAsia"/>
          <w:highlight w:val="none"/>
          <w:lang w:eastAsia="zh-CN"/>
        </w:rPr>
        <w:t>通化</w:t>
      </w:r>
      <w:r>
        <w:rPr>
          <w:rFonts w:hint="eastAsia"/>
          <w:highlight w:val="none"/>
        </w:rPr>
        <w:t>市突发事件总体应急预案》指导下实施，对上与《吉林省大面积停电事件应急预案》相衔接，对下与相关部门、各县（市）区人民政府、电力企业相关应急预案衔接。各县（市）区人民政府应制定本地区大面积停电事件应急预案,各级电力企业应制定本单位大面积停电事件应急预案,并网运行的各发电企业应制定本单位大面积停电事件应急预案,各重要电力用户应制定大面积停电事件下本单位应急处置方案。</w:t>
      </w:r>
    </w:p>
    <w:p>
      <w:pPr>
        <w:pStyle w:val="3"/>
        <w:keepLines w:val="0"/>
        <w:pageBreakBefore w:val="0"/>
        <w:widowControl w:val="0"/>
        <w:kinsoku/>
        <w:wordWrap/>
        <w:overflowPunct/>
        <w:topLinePunct w:val="0"/>
        <w:autoSpaceDE/>
        <w:autoSpaceDN/>
        <w:bidi w:val="0"/>
        <w:adjustRightInd/>
        <w:snapToGrid/>
        <w:ind w:firstLine="632"/>
        <w:jc w:val="both"/>
        <w:textAlignment w:val="auto"/>
        <w:rPr>
          <w:rFonts w:ascii="黑体" w:hAnsi="黑体" w:cs="黑体"/>
          <w:b w:val="0"/>
          <w:bCs w:val="0"/>
          <w:highlight w:val="none"/>
        </w:rPr>
      </w:pPr>
      <w:bookmarkStart w:id="14" w:name="_Toc22845"/>
      <w:bookmarkStart w:id="15" w:name="_Toc18014"/>
      <w:r>
        <w:rPr>
          <w:rFonts w:hint="eastAsia" w:ascii="黑体" w:hAnsi="黑体" w:cs="黑体"/>
          <w:b w:val="0"/>
          <w:bCs w:val="0"/>
          <w:highlight w:val="none"/>
        </w:rPr>
        <w:t>二、组织体系及职责</w:t>
      </w:r>
      <w:bookmarkEnd w:id="14"/>
      <w:bookmarkEnd w:id="15"/>
    </w:p>
    <w:p>
      <w:pPr>
        <w:pStyle w:val="4"/>
        <w:keepLines w:val="0"/>
        <w:pageBreakBefore w:val="0"/>
        <w:widowControl w:val="0"/>
        <w:kinsoku/>
        <w:wordWrap/>
        <w:overflowPunct/>
        <w:topLinePunct w:val="0"/>
        <w:autoSpaceDE/>
        <w:autoSpaceDN/>
        <w:bidi w:val="0"/>
        <w:adjustRightInd/>
        <w:snapToGrid/>
        <w:ind w:firstLine="632"/>
        <w:textAlignment w:val="auto"/>
        <w:rPr>
          <w:rFonts w:ascii="楷体" w:hAnsi="楷体" w:cs="楷体"/>
          <w:b w:val="0"/>
          <w:highlight w:val="none"/>
        </w:rPr>
      </w:pPr>
      <w:bookmarkStart w:id="16" w:name="_Toc13781"/>
      <w:bookmarkStart w:id="17" w:name="_Toc13919"/>
      <w:r>
        <w:rPr>
          <w:rFonts w:hint="eastAsia" w:ascii="楷体" w:hAnsi="楷体" w:cs="楷体"/>
          <w:b w:val="0"/>
          <w:highlight w:val="none"/>
        </w:rPr>
        <w:t>（一）市级组织指挥机构</w:t>
      </w:r>
      <w:bookmarkEnd w:id="16"/>
      <w:bookmarkEnd w:id="17"/>
    </w:p>
    <w:p>
      <w:pPr>
        <w:pStyle w:val="5"/>
        <w:keepLines w:val="0"/>
        <w:pageBreakBefore w:val="0"/>
        <w:widowControl w:val="0"/>
        <w:kinsoku/>
        <w:wordWrap/>
        <w:overflowPunct/>
        <w:topLinePunct w:val="0"/>
        <w:autoSpaceDE/>
        <w:autoSpaceDN/>
        <w:bidi w:val="0"/>
        <w:adjustRightInd/>
        <w:snapToGrid/>
        <w:ind w:firstLine="632"/>
        <w:textAlignment w:val="auto"/>
        <w:rPr>
          <w:b w:val="0"/>
          <w:highlight w:val="none"/>
        </w:rPr>
      </w:pPr>
      <w:bookmarkStart w:id="18" w:name="_Toc4743"/>
      <w:bookmarkStart w:id="19" w:name="_Toc23511"/>
      <w:r>
        <w:rPr>
          <w:rFonts w:hint="eastAsia"/>
          <w:b w:val="0"/>
          <w:highlight w:val="none"/>
          <w:lang w:eastAsia="zh-CN"/>
        </w:rPr>
        <w:t>市发改委负责大面积停电事件应对的指导协调和组织管理工作，初判发生较大级别以上大面积停电事件时，根据事件应对工作需要和市政府决策部署，由市政府成立通化市大面积停电事件应急指挥部。通化</w:t>
      </w:r>
      <w:r>
        <w:rPr>
          <w:rFonts w:hint="eastAsia"/>
          <w:b w:val="0"/>
          <w:highlight w:val="none"/>
        </w:rPr>
        <w:t>市大面积停电事件应急指挥部</w:t>
      </w:r>
      <w:bookmarkEnd w:id="18"/>
      <w:bookmarkEnd w:id="19"/>
      <w:r>
        <w:rPr>
          <w:rFonts w:hint="eastAsia"/>
          <w:b w:val="0"/>
          <w:highlight w:val="none"/>
        </w:rPr>
        <w:t>（以下简称“市电力应急指挥部”）是全市大面积停电事件应急工作领导机构，负责研究部署全市大面积停电应急准备事项，统一指挥、协调、督促应急处置工作，下设综合协调组、电力恢复组、舆论引导组、应急保障组、社会稳定组，市电力应急指挥部组成及工作组职责见附件</w:t>
      </w:r>
      <w:r>
        <w:rPr>
          <w:rFonts w:ascii="Times New Roman" w:hAnsi="Times New Roman" w:cs="Times New Roman"/>
          <w:b w:val="0"/>
          <w:highlight w:val="none"/>
        </w:rPr>
        <w:t>2</w:t>
      </w:r>
      <w:r>
        <w:rPr>
          <w:rFonts w:hint="eastAsia"/>
          <w:b w:val="0"/>
          <w:highlight w:val="none"/>
        </w:rPr>
        <w:t>。</w:t>
      </w:r>
    </w:p>
    <w:p>
      <w:pPr>
        <w:pStyle w:val="4"/>
        <w:keepLines w:val="0"/>
        <w:pageBreakBefore w:val="0"/>
        <w:widowControl w:val="0"/>
        <w:kinsoku/>
        <w:wordWrap/>
        <w:overflowPunct/>
        <w:topLinePunct w:val="0"/>
        <w:autoSpaceDE/>
        <w:autoSpaceDN/>
        <w:bidi w:val="0"/>
        <w:adjustRightInd/>
        <w:snapToGrid/>
        <w:ind w:firstLine="632"/>
        <w:textAlignment w:val="auto"/>
        <w:rPr>
          <w:rFonts w:ascii="楷体" w:hAnsi="楷体" w:cs="楷体"/>
          <w:b w:val="0"/>
          <w:highlight w:val="none"/>
        </w:rPr>
      </w:pPr>
      <w:bookmarkStart w:id="20" w:name="_Toc2891"/>
      <w:bookmarkStart w:id="21" w:name="_Toc9302"/>
      <w:r>
        <w:rPr>
          <w:rFonts w:hint="eastAsia" w:ascii="楷体" w:hAnsi="楷体" w:cs="楷体"/>
          <w:b w:val="0"/>
          <w:highlight w:val="none"/>
        </w:rPr>
        <w:t>（二）县（市）区级</w:t>
      </w:r>
      <w:r>
        <w:rPr>
          <w:rFonts w:hint="eastAsia" w:ascii="楷体" w:hAnsi="楷体" w:cs="楷体"/>
          <w:b w:val="0"/>
          <w:highlight w:val="none"/>
          <w:lang w:eastAsia="zh-CN"/>
        </w:rPr>
        <w:t>及以下</w:t>
      </w:r>
      <w:r>
        <w:rPr>
          <w:rFonts w:hint="eastAsia" w:ascii="楷体" w:hAnsi="楷体" w:cs="楷体"/>
          <w:b w:val="0"/>
          <w:highlight w:val="none"/>
        </w:rPr>
        <w:t>组织指挥机构</w:t>
      </w:r>
      <w:bookmarkEnd w:id="20"/>
      <w:bookmarkEnd w:id="21"/>
    </w:p>
    <w:p>
      <w:pPr>
        <w:keepLines w:val="0"/>
        <w:pageBreakBefore w:val="0"/>
        <w:widowControl w:val="0"/>
        <w:kinsoku/>
        <w:wordWrap/>
        <w:overflowPunct/>
        <w:topLinePunct w:val="0"/>
        <w:autoSpaceDE/>
        <w:autoSpaceDN/>
        <w:bidi w:val="0"/>
        <w:adjustRightInd/>
        <w:snapToGrid/>
        <w:ind w:firstLine="632"/>
        <w:textAlignment w:val="auto"/>
        <w:rPr>
          <w:rFonts w:hint="eastAsia"/>
          <w:highlight w:val="none"/>
        </w:rPr>
      </w:pPr>
      <w:r>
        <w:rPr>
          <w:rFonts w:hint="eastAsia"/>
          <w:highlight w:val="none"/>
        </w:rPr>
        <w:t>各县（市）人民政府（主要包括</w:t>
      </w:r>
      <w:r>
        <w:rPr>
          <w:rFonts w:hint="eastAsia"/>
          <w:highlight w:val="none"/>
          <w:lang w:eastAsia="zh-CN"/>
        </w:rPr>
        <w:t>集安市</w:t>
      </w:r>
      <w:r>
        <w:rPr>
          <w:rFonts w:hint="eastAsia"/>
          <w:highlight w:val="none"/>
        </w:rPr>
        <w:t>、</w:t>
      </w:r>
      <w:r>
        <w:rPr>
          <w:rFonts w:hint="eastAsia"/>
          <w:highlight w:val="none"/>
          <w:lang w:eastAsia="zh-CN"/>
        </w:rPr>
        <w:t>辉南县</w:t>
      </w:r>
      <w:r>
        <w:rPr>
          <w:rFonts w:hint="eastAsia"/>
          <w:highlight w:val="none"/>
        </w:rPr>
        <w:t>、</w:t>
      </w:r>
      <w:r>
        <w:rPr>
          <w:rFonts w:hint="eastAsia"/>
          <w:highlight w:val="none"/>
          <w:lang w:eastAsia="zh-CN"/>
        </w:rPr>
        <w:t>柳河县</w:t>
      </w:r>
      <w:r>
        <w:rPr>
          <w:rFonts w:hint="eastAsia"/>
          <w:highlight w:val="none"/>
        </w:rPr>
        <w:t>、</w:t>
      </w:r>
      <w:r>
        <w:rPr>
          <w:rFonts w:hint="eastAsia"/>
          <w:highlight w:val="none"/>
          <w:lang w:eastAsia="zh-CN"/>
        </w:rPr>
        <w:t>通化县</w:t>
      </w:r>
      <w:r>
        <w:rPr>
          <w:rFonts w:hint="eastAsia"/>
          <w:highlight w:val="none"/>
        </w:rPr>
        <w:t>）及各区级人民政府（</w:t>
      </w:r>
      <w:r>
        <w:rPr>
          <w:rFonts w:hint="eastAsia"/>
          <w:highlight w:val="none"/>
          <w:lang w:eastAsia="zh-CN"/>
        </w:rPr>
        <w:t>东昌</w:t>
      </w:r>
      <w:r>
        <w:rPr>
          <w:rFonts w:hint="eastAsia"/>
          <w:highlight w:val="none"/>
        </w:rPr>
        <w:t>区、</w:t>
      </w:r>
      <w:r>
        <w:rPr>
          <w:rFonts w:hint="eastAsia"/>
          <w:highlight w:val="none"/>
          <w:lang w:eastAsia="zh-CN"/>
        </w:rPr>
        <w:t>二道江区</w:t>
      </w:r>
      <w:r>
        <w:rPr>
          <w:rFonts w:hint="eastAsia"/>
          <w:highlight w:val="none"/>
        </w:rPr>
        <w:t>、</w:t>
      </w:r>
      <w:r>
        <w:rPr>
          <w:rFonts w:hint="eastAsia"/>
          <w:highlight w:val="none"/>
          <w:lang w:eastAsia="zh-CN"/>
        </w:rPr>
        <w:t>通化医药高新区</w:t>
      </w:r>
      <w:r>
        <w:rPr>
          <w:rFonts w:hint="eastAsia"/>
          <w:highlight w:val="none"/>
        </w:rPr>
        <w:t>、</w:t>
      </w:r>
      <w:r>
        <w:rPr>
          <w:rFonts w:hint="eastAsia"/>
          <w:highlight w:val="none"/>
          <w:lang w:eastAsia="zh-CN"/>
        </w:rPr>
        <w:t>吉林通化国际内陆港务区</w:t>
      </w:r>
      <w:r>
        <w:rPr>
          <w:rFonts w:hint="eastAsia"/>
          <w:highlight w:val="none"/>
        </w:rPr>
        <w:t>）负责指挥、协调本行政区域内大面积停电事件应对工作，参照市级组织指挥机构明确本级大面积停电事件组织指挥机构，建立健全应急联动机制。</w:t>
      </w:r>
    </w:p>
    <w:p>
      <w:pPr>
        <w:pStyle w:val="2"/>
        <w:keepNext w:val="0"/>
        <w:keepLines w:val="0"/>
        <w:pageBreakBefore w:val="0"/>
        <w:widowControl w:val="0"/>
        <w:kinsoku/>
        <w:wordWrap/>
        <w:overflowPunct/>
        <w:topLinePunct w:val="0"/>
        <w:autoSpaceDE/>
        <w:autoSpaceDN/>
        <w:bidi w:val="0"/>
        <w:adjustRightInd/>
        <w:snapToGrid/>
        <w:textAlignment w:val="auto"/>
        <w:rPr>
          <w:rFonts w:hint="eastAsia"/>
          <w:highlight w:val="none"/>
          <w:lang w:eastAsia="zh-CN"/>
        </w:rPr>
      </w:pPr>
      <w:r>
        <w:rPr>
          <w:rFonts w:hint="eastAsia"/>
          <w:highlight w:val="none"/>
          <w:lang w:eastAsia="zh-CN"/>
        </w:rPr>
        <w:t>乡镇政府（街道办事处）要结合实际强化停电应对工作职责。村、社区等基层组织要结合实际做好停电应对相关工作。</w:t>
      </w:r>
    </w:p>
    <w:p>
      <w:pPr>
        <w:keepNext w:val="0"/>
        <w:keepLines w:val="0"/>
        <w:pageBreakBefore w:val="0"/>
        <w:widowControl w:val="0"/>
        <w:kinsoku/>
        <w:wordWrap/>
        <w:overflowPunct/>
        <w:topLinePunct w:val="0"/>
        <w:autoSpaceDE/>
        <w:autoSpaceDN/>
        <w:bidi w:val="0"/>
        <w:adjustRightInd/>
        <w:snapToGrid/>
        <w:textAlignment w:val="auto"/>
        <w:rPr>
          <w:rFonts w:hint="eastAsia"/>
          <w:highlight w:val="none"/>
          <w:lang w:eastAsia="zh-CN"/>
        </w:rPr>
      </w:pPr>
      <w:r>
        <w:rPr>
          <w:rFonts w:hint="eastAsia"/>
          <w:highlight w:val="none"/>
          <w:lang w:eastAsia="zh-CN"/>
        </w:rPr>
        <w:t>发生跨行政区域的大面积停电事件时，有关地区政府应根据需要建立跨区域大面积停电事件应急联动机制，共同做好区域性、流域性、关联性强的大面积停电事件防范应对工作。</w:t>
      </w:r>
    </w:p>
    <w:p>
      <w:pPr>
        <w:pStyle w:val="4"/>
        <w:keepLines w:val="0"/>
        <w:pageBreakBefore w:val="0"/>
        <w:widowControl w:val="0"/>
        <w:kinsoku/>
        <w:wordWrap/>
        <w:overflowPunct/>
        <w:topLinePunct w:val="0"/>
        <w:autoSpaceDE/>
        <w:autoSpaceDN/>
        <w:bidi w:val="0"/>
        <w:adjustRightInd/>
        <w:snapToGrid/>
        <w:ind w:firstLine="632"/>
        <w:textAlignment w:val="auto"/>
        <w:rPr>
          <w:rFonts w:ascii="楷体" w:hAnsi="楷体" w:cs="楷体"/>
          <w:b w:val="0"/>
          <w:highlight w:val="none"/>
        </w:rPr>
      </w:pPr>
      <w:bookmarkStart w:id="22" w:name="_Toc19519"/>
      <w:bookmarkStart w:id="23" w:name="_Toc284"/>
      <w:r>
        <w:rPr>
          <w:rFonts w:hint="eastAsia" w:ascii="楷体" w:hAnsi="楷体" w:cs="楷体"/>
          <w:b w:val="0"/>
          <w:highlight w:val="none"/>
        </w:rPr>
        <w:t>（三）现场指挥机构</w:t>
      </w:r>
      <w:bookmarkEnd w:id="22"/>
      <w:bookmarkEnd w:id="23"/>
    </w:p>
    <w:p>
      <w:pPr>
        <w:keepLines w:val="0"/>
        <w:pageBreakBefore w:val="0"/>
        <w:widowControl w:val="0"/>
        <w:kinsoku/>
        <w:wordWrap/>
        <w:overflowPunct/>
        <w:topLinePunct w:val="0"/>
        <w:autoSpaceDE/>
        <w:autoSpaceDN/>
        <w:bidi w:val="0"/>
        <w:adjustRightInd/>
        <w:snapToGrid/>
        <w:ind w:firstLine="632"/>
        <w:textAlignment w:val="auto"/>
        <w:rPr>
          <w:highlight w:val="none"/>
        </w:rPr>
      </w:pPr>
      <w:r>
        <w:rPr>
          <w:rFonts w:hint="eastAsia"/>
          <w:highlight w:val="none"/>
        </w:rPr>
        <w:t>负责大面积停电事件应对的县（市）区级人民政府根据需要成立现场指挥部，开展现场组织指挥工作，参与现场处置的</w:t>
      </w:r>
      <w:r>
        <w:rPr>
          <w:rFonts w:hint="eastAsia"/>
          <w:highlight w:val="none"/>
          <w:lang w:eastAsia="zh-CN"/>
        </w:rPr>
        <w:t>工作组</w:t>
      </w:r>
      <w:r>
        <w:rPr>
          <w:rFonts w:hint="eastAsia"/>
          <w:highlight w:val="none"/>
        </w:rPr>
        <w:t>有关单位和人员应服从现场指挥部统一指挥。</w:t>
      </w:r>
    </w:p>
    <w:p>
      <w:pPr>
        <w:pStyle w:val="4"/>
        <w:keepLines w:val="0"/>
        <w:pageBreakBefore w:val="0"/>
        <w:widowControl w:val="0"/>
        <w:kinsoku/>
        <w:wordWrap/>
        <w:overflowPunct/>
        <w:topLinePunct w:val="0"/>
        <w:autoSpaceDE/>
        <w:autoSpaceDN/>
        <w:bidi w:val="0"/>
        <w:adjustRightInd/>
        <w:snapToGrid/>
        <w:ind w:firstLine="632"/>
        <w:textAlignment w:val="auto"/>
        <w:rPr>
          <w:rFonts w:ascii="楷体" w:hAnsi="楷体" w:cs="楷体"/>
          <w:b w:val="0"/>
          <w:highlight w:val="none"/>
        </w:rPr>
      </w:pPr>
      <w:bookmarkStart w:id="24" w:name="_Toc1803"/>
      <w:bookmarkStart w:id="25" w:name="_Toc22710"/>
      <w:r>
        <w:rPr>
          <w:rFonts w:hint="eastAsia" w:ascii="楷体" w:hAnsi="楷体" w:cs="楷体"/>
          <w:b w:val="0"/>
          <w:highlight w:val="none"/>
        </w:rPr>
        <w:t>（四）电力企业</w:t>
      </w:r>
      <w:bookmarkEnd w:id="24"/>
      <w:bookmarkEnd w:id="25"/>
    </w:p>
    <w:p>
      <w:pPr>
        <w:keepLines w:val="0"/>
        <w:pageBreakBefore w:val="0"/>
        <w:widowControl w:val="0"/>
        <w:kinsoku/>
        <w:wordWrap/>
        <w:overflowPunct/>
        <w:topLinePunct w:val="0"/>
        <w:autoSpaceDE/>
        <w:autoSpaceDN/>
        <w:bidi w:val="0"/>
        <w:adjustRightInd/>
        <w:snapToGrid/>
        <w:ind w:firstLine="632"/>
        <w:textAlignment w:val="auto"/>
        <w:rPr>
          <w:highlight w:val="none"/>
        </w:rPr>
      </w:pPr>
      <w:r>
        <w:rPr>
          <w:rFonts w:hint="eastAsia"/>
          <w:highlight w:val="none"/>
        </w:rPr>
        <w:t>电力企业（包括电网企业、发电企业等）建立健全应急指挥机构，在市电力应急指挥部领导下，根据责任分工开展大面积停电事件应对工作,电网调度工作按照《电网调度管理条例》及相关规程执行。</w:t>
      </w:r>
    </w:p>
    <w:p>
      <w:pPr>
        <w:pStyle w:val="4"/>
        <w:keepLines w:val="0"/>
        <w:pageBreakBefore w:val="0"/>
        <w:widowControl w:val="0"/>
        <w:kinsoku/>
        <w:wordWrap/>
        <w:overflowPunct/>
        <w:topLinePunct w:val="0"/>
        <w:autoSpaceDE/>
        <w:autoSpaceDN/>
        <w:bidi w:val="0"/>
        <w:adjustRightInd/>
        <w:snapToGrid/>
        <w:ind w:firstLine="632"/>
        <w:textAlignment w:val="auto"/>
        <w:rPr>
          <w:rFonts w:ascii="楷体" w:hAnsi="楷体" w:cs="楷体"/>
          <w:b w:val="0"/>
          <w:highlight w:val="none"/>
        </w:rPr>
      </w:pPr>
      <w:bookmarkStart w:id="26" w:name="_Toc21718"/>
      <w:bookmarkStart w:id="27" w:name="_Toc27489"/>
      <w:r>
        <w:rPr>
          <w:rFonts w:hint="eastAsia" w:ascii="楷体" w:hAnsi="楷体" w:cs="楷体"/>
          <w:b w:val="0"/>
          <w:highlight w:val="none"/>
        </w:rPr>
        <w:t>（五）重要电力用户</w:t>
      </w:r>
      <w:bookmarkEnd w:id="26"/>
      <w:bookmarkEnd w:id="27"/>
    </w:p>
    <w:p>
      <w:pPr>
        <w:keepLines w:val="0"/>
        <w:pageBreakBefore w:val="0"/>
        <w:widowControl w:val="0"/>
        <w:kinsoku/>
        <w:wordWrap/>
        <w:overflowPunct/>
        <w:topLinePunct w:val="0"/>
        <w:autoSpaceDE/>
        <w:autoSpaceDN/>
        <w:bidi w:val="0"/>
        <w:adjustRightInd/>
        <w:snapToGrid/>
        <w:ind w:firstLine="632"/>
        <w:textAlignment w:val="auto"/>
        <w:rPr>
          <w:highlight w:val="none"/>
        </w:rPr>
      </w:pPr>
      <w:r>
        <w:rPr>
          <w:rFonts w:hint="eastAsia"/>
          <w:highlight w:val="none"/>
        </w:rPr>
        <w:t>重要电力用户（包括各级政府、医院、院校、重要消防指挥中心、交通指挥中心等）应制定和完善本单位应急预案或现场处置方案，自备应急电源，储备相关物资，保障电力供应的可靠性和有效性。在发生大面积停电状态下负责本单位先期应急处置工作。依据</w:t>
      </w:r>
      <w:r>
        <w:rPr>
          <w:rFonts w:hint="eastAsia"/>
          <w:color w:val="auto"/>
          <w:highlight w:val="none"/>
        </w:rPr>
        <w:t>《重要电力用户供电电源及自备应急电源配置技术规范》</w:t>
      </w:r>
      <w:r>
        <w:rPr>
          <w:rFonts w:hint="default" w:ascii="Times New Roman" w:hAnsi="Times New Roman" w:cs="Times New Roman"/>
          <w:color w:val="auto"/>
          <w:highlight w:val="none"/>
        </w:rPr>
        <w:t>(GB/T 29328-2018)</w:t>
      </w:r>
      <w:r>
        <w:rPr>
          <w:rFonts w:hint="eastAsia"/>
          <w:highlight w:val="none"/>
        </w:rPr>
        <w:t>相关规定，重要电力用户的认定按电力安全事故应急处置和调查处理条例要求，每年审核新增和变更。重要电力用户划分标准和范围详见附件</w:t>
      </w:r>
      <w:r>
        <w:rPr>
          <w:rFonts w:hint="default" w:ascii="Times New Roman" w:hAnsi="Times New Roman" w:cs="Times New Roman"/>
          <w:highlight w:val="none"/>
          <w:lang w:val="en-US" w:eastAsia="zh-CN"/>
        </w:rPr>
        <w:t>3</w:t>
      </w:r>
      <w:r>
        <w:rPr>
          <w:rFonts w:hint="eastAsia"/>
          <w:highlight w:val="none"/>
        </w:rPr>
        <w:t>。</w:t>
      </w:r>
    </w:p>
    <w:p>
      <w:pPr>
        <w:pStyle w:val="4"/>
        <w:keepLines w:val="0"/>
        <w:pageBreakBefore w:val="0"/>
        <w:widowControl w:val="0"/>
        <w:kinsoku/>
        <w:wordWrap/>
        <w:overflowPunct/>
        <w:topLinePunct w:val="0"/>
        <w:autoSpaceDE/>
        <w:autoSpaceDN/>
        <w:bidi w:val="0"/>
        <w:adjustRightInd/>
        <w:snapToGrid/>
        <w:ind w:firstLine="632"/>
        <w:textAlignment w:val="auto"/>
        <w:rPr>
          <w:rFonts w:ascii="楷体" w:hAnsi="楷体" w:cs="楷体"/>
          <w:b w:val="0"/>
          <w:highlight w:val="none"/>
        </w:rPr>
      </w:pPr>
      <w:bookmarkStart w:id="28" w:name="_Toc5923"/>
      <w:bookmarkStart w:id="29" w:name="_Toc12702"/>
      <w:r>
        <w:rPr>
          <w:rFonts w:hint="eastAsia" w:ascii="楷体" w:hAnsi="楷体" w:cs="楷体"/>
          <w:b w:val="0"/>
          <w:highlight w:val="none"/>
        </w:rPr>
        <w:t>（六）专家组</w:t>
      </w:r>
      <w:bookmarkEnd w:id="28"/>
      <w:bookmarkEnd w:id="29"/>
    </w:p>
    <w:p>
      <w:pPr>
        <w:keepLines w:val="0"/>
        <w:pageBreakBefore w:val="0"/>
        <w:widowControl w:val="0"/>
        <w:kinsoku/>
        <w:wordWrap/>
        <w:overflowPunct/>
        <w:topLinePunct w:val="0"/>
        <w:autoSpaceDE/>
        <w:autoSpaceDN/>
        <w:bidi w:val="0"/>
        <w:adjustRightInd/>
        <w:snapToGrid/>
        <w:ind w:firstLine="632"/>
        <w:textAlignment w:val="auto"/>
        <w:rPr>
          <w:highlight w:val="none"/>
        </w:rPr>
      </w:pPr>
      <w:r>
        <w:rPr>
          <w:rFonts w:hint="eastAsia"/>
          <w:highlight w:val="none"/>
        </w:rPr>
        <w:t>市、县两级电力应急指挥机构根据需要成立大面积停电事件应急专家组，成员由电力、地震、气象、地质、水文等领域相关专家组成，对大面积停电事件应对工作提供技术咨询和建议。</w:t>
      </w:r>
    </w:p>
    <w:p>
      <w:pPr>
        <w:pStyle w:val="3"/>
        <w:keepLines w:val="0"/>
        <w:pageBreakBefore w:val="0"/>
        <w:widowControl w:val="0"/>
        <w:kinsoku/>
        <w:wordWrap/>
        <w:overflowPunct/>
        <w:topLinePunct w:val="0"/>
        <w:autoSpaceDE/>
        <w:autoSpaceDN/>
        <w:bidi w:val="0"/>
        <w:adjustRightInd/>
        <w:snapToGrid/>
        <w:ind w:firstLine="632"/>
        <w:jc w:val="both"/>
        <w:textAlignment w:val="auto"/>
        <w:rPr>
          <w:rFonts w:ascii="黑体" w:hAnsi="黑体" w:cs="黑体"/>
          <w:b w:val="0"/>
          <w:bCs w:val="0"/>
          <w:highlight w:val="none"/>
        </w:rPr>
      </w:pPr>
      <w:bookmarkStart w:id="30" w:name="_Toc1215"/>
      <w:bookmarkStart w:id="31" w:name="_Toc23042"/>
      <w:r>
        <w:rPr>
          <w:rFonts w:hint="eastAsia" w:ascii="黑体" w:hAnsi="黑体" w:cs="黑体"/>
          <w:b w:val="0"/>
          <w:bCs w:val="0"/>
          <w:highlight w:val="none"/>
        </w:rPr>
        <w:t>三、监测预警和信息报告</w:t>
      </w:r>
      <w:bookmarkEnd w:id="30"/>
      <w:bookmarkEnd w:id="31"/>
    </w:p>
    <w:p>
      <w:pPr>
        <w:pStyle w:val="4"/>
        <w:keepLines w:val="0"/>
        <w:pageBreakBefore w:val="0"/>
        <w:widowControl w:val="0"/>
        <w:kinsoku/>
        <w:wordWrap/>
        <w:overflowPunct/>
        <w:topLinePunct w:val="0"/>
        <w:autoSpaceDE/>
        <w:autoSpaceDN/>
        <w:bidi w:val="0"/>
        <w:adjustRightInd/>
        <w:snapToGrid/>
        <w:ind w:firstLine="632"/>
        <w:textAlignment w:val="auto"/>
        <w:rPr>
          <w:rFonts w:ascii="楷体" w:hAnsi="楷体" w:cs="楷体"/>
          <w:b w:val="0"/>
          <w:highlight w:val="none"/>
        </w:rPr>
      </w:pPr>
      <w:bookmarkStart w:id="32" w:name="_Toc14264"/>
      <w:bookmarkStart w:id="33" w:name="_Toc19987"/>
      <w:r>
        <w:rPr>
          <w:rFonts w:hint="eastAsia" w:ascii="楷体" w:hAnsi="楷体" w:cs="楷体"/>
          <w:b w:val="0"/>
          <w:highlight w:val="none"/>
        </w:rPr>
        <w:t>（一）风险分析</w:t>
      </w:r>
      <w:bookmarkEnd w:id="32"/>
      <w:bookmarkEnd w:id="33"/>
    </w:p>
    <w:p>
      <w:pPr>
        <w:keepLines w:val="0"/>
        <w:pageBreakBefore w:val="0"/>
        <w:widowControl w:val="0"/>
        <w:kinsoku/>
        <w:wordWrap/>
        <w:overflowPunct/>
        <w:topLinePunct w:val="0"/>
        <w:autoSpaceDE/>
        <w:autoSpaceDN/>
        <w:bidi w:val="0"/>
        <w:adjustRightInd/>
        <w:snapToGrid/>
        <w:ind w:firstLine="632"/>
        <w:textAlignment w:val="auto"/>
        <w:rPr>
          <w:highlight w:val="none"/>
        </w:rPr>
      </w:pPr>
      <w:r>
        <w:rPr>
          <w:rFonts w:hint="eastAsia"/>
          <w:highlight w:val="none"/>
          <w:lang w:eastAsia="zh-CN"/>
        </w:rPr>
        <w:t>通化</w:t>
      </w:r>
      <w:r>
        <w:rPr>
          <w:rFonts w:hint="eastAsia"/>
          <w:highlight w:val="none"/>
        </w:rPr>
        <w:t>地区电网位于吉林省电网的</w:t>
      </w:r>
      <w:r>
        <w:rPr>
          <w:rFonts w:hint="eastAsia"/>
          <w:highlight w:val="none"/>
          <w:lang w:eastAsia="zh-CN"/>
        </w:rPr>
        <w:t>东南</w:t>
      </w:r>
      <w:r>
        <w:rPr>
          <w:rFonts w:hint="eastAsia"/>
          <w:highlight w:val="none"/>
        </w:rPr>
        <w:t>部，是吉林省电网“井”字型网络的中枢点之一，是较大的电力负荷中心，同时也是东北电网的东西电力交换的重要枢纽。</w:t>
      </w:r>
      <w:r>
        <w:rPr>
          <w:rFonts w:hint="eastAsia"/>
          <w:highlight w:val="none"/>
          <w:lang w:eastAsia="zh-CN"/>
        </w:rPr>
        <w:t>通化</w:t>
      </w:r>
      <w:r>
        <w:rPr>
          <w:rFonts w:hint="eastAsia"/>
          <w:highlight w:val="none"/>
        </w:rPr>
        <w:t>地区可能导致大面积停电事件的主要危险源包括以下几个方面：</w:t>
      </w:r>
    </w:p>
    <w:p>
      <w:pPr>
        <w:pStyle w:val="5"/>
        <w:keepLines w:val="0"/>
        <w:pageBreakBefore w:val="0"/>
        <w:widowControl w:val="0"/>
        <w:kinsoku/>
        <w:wordWrap/>
        <w:overflowPunct/>
        <w:topLinePunct w:val="0"/>
        <w:autoSpaceDE/>
        <w:autoSpaceDN/>
        <w:bidi w:val="0"/>
        <w:adjustRightInd/>
        <w:snapToGrid/>
        <w:ind w:firstLine="632"/>
        <w:textAlignment w:val="auto"/>
        <w:rPr>
          <w:b w:val="0"/>
          <w:highlight w:val="none"/>
        </w:rPr>
      </w:pPr>
      <w:bookmarkStart w:id="34" w:name="_Toc19"/>
      <w:bookmarkStart w:id="35" w:name="_Toc28119"/>
      <w:r>
        <w:rPr>
          <w:rFonts w:hint="default" w:ascii="Times New Roman" w:hAnsi="Times New Roman" w:cs="Times New Roman"/>
          <w:b w:val="0"/>
          <w:bCs w:val="0"/>
          <w:highlight w:val="none"/>
        </w:rPr>
        <w:t>1.</w:t>
      </w:r>
      <w:r>
        <w:rPr>
          <w:rFonts w:hint="eastAsia"/>
          <w:bCs/>
          <w:highlight w:val="none"/>
        </w:rPr>
        <w:t>自然灾害风险</w:t>
      </w:r>
      <w:bookmarkEnd w:id="34"/>
      <w:bookmarkEnd w:id="35"/>
      <w:r>
        <w:rPr>
          <w:rFonts w:hint="eastAsia"/>
          <w:bCs/>
          <w:highlight w:val="none"/>
        </w:rPr>
        <w:t>。</w:t>
      </w:r>
      <w:r>
        <w:rPr>
          <w:rFonts w:hint="eastAsia"/>
          <w:b w:val="0"/>
          <w:highlight w:val="none"/>
          <w:lang w:eastAsia="zh-CN"/>
        </w:rPr>
        <w:t>台</w:t>
      </w:r>
      <w:r>
        <w:rPr>
          <w:rFonts w:hint="eastAsia"/>
          <w:b w:val="0"/>
          <w:highlight w:val="none"/>
        </w:rPr>
        <w:t>风、地震、地质、洪涝</w:t>
      </w:r>
      <w:r>
        <w:rPr>
          <w:rFonts w:hint="eastAsia"/>
          <w:b w:val="0"/>
          <w:highlight w:val="none"/>
          <w:lang w:eastAsia="zh-CN"/>
        </w:rPr>
        <w:t>、山体滑坡、泥石流</w:t>
      </w:r>
      <w:r>
        <w:rPr>
          <w:rFonts w:hint="eastAsia"/>
          <w:b w:val="0"/>
          <w:highlight w:val="none"/>
        </w:rPr>
        <w:t>等灾害及森林火灾、雨雪冰冻等可能造成电网设施设备大范围损毁，从而引发大面积停电。</w:t>
      </w:r>
    </w:p>
    <w:p>
      <w:pPr>
        <w:pStyle w:val="5"/>
        <w:keepLines w:val="0"/>
        <w:pageBreakBefore w:val="0"/>
        <w:widowControl w:val="0"/>
        <w:kinsoku/>
        <w:wordWrap/>
        <w:overflowPunct/>
        <w:topLinePunct w:val="0"/>
        <w:autoSpaceDE/>
        <w:autoSpaceDN/>
        <w:bidi w:val="0"/>
        <w:adjustRightInd/>
        <w:snapToGrid/>
        <w:ind w:firstLine="632"/>
        <w:textAlignment w:val="auto"/>
        <w:rPr>
          <w:rFonts w:hint="eastAsia" w:eastAsia="仿宋"/>
          <w:b w:val="0"/>
          <w:bCs w:val="0"/>
          <w:highlight w:val="none"/>
          <w:lang w:eastAsia="zh-CN"/>
        </w:rPr>
      </w:pPr>
      <w:bookmarkStart w:id="36" w:name="_Toc3984"/>
      <w:bookmarkStart w:id="37" w:name="_Toc17693"/>
      <w:r>
        <w:rPr>
          <w:rFonts w:hint="default" w:ascii="Times New Roman" w:hAnsi="Times New Roman" w:cs="Times New Roman"/>
          <w:b w:val="0"/>
          <w:highlight w:val="none"/>
        </w:rPr>
        <w:t>2</w:t>
      </w:r>
      <w:r>
        <w:rPr>
          <w:rFonts w:hint="default" w:ascii="Times New Roman" w:hAnsi="Times New Roman" w:cs="Times New Roman"/>
          <w:bCs/>
          <w:highlight w:val="none"/>
        </w:rPr>
        <w:t>.</w:t>
      </w:r>
      <w:r>
        <w:rPr>
          <w:rFonts w:hint="eastAsia"/>
          <w:bCs/>
          <w:highlight w:val="none"/>
        </w:rPr>
        <w:t>电网网架结构风险</w:t>
      </w:r>
      <w:bookmarkEnd w:id="36"/>
      <w:bookmarkEnd w:id="37"/>
      <w:r>
        <w:rPr>
          <w:rFonts w:hint="eastAsia"/>
          <w:bCs/>
          <w:highlight w:val="none"/>
        </w:rPr>
        <w:t>。</w:t>
      </w:r>
      <w:bookmarkStart w:id="38" w:name="_Toc2178"/>
      <w:bookmarkStart w:id="39" w:name="_Toc5604"/>
      <w:r>
        <w:rPr>
          <w:rFonts w:hint="eastAsia"/>
          <w:b w:val="0"/>
          <w:bCs w:val="0"/>
          <w:highlight w:val="none"/>
          <w:lang w:eastAsia="zh-CN"/>
        </w:rPr>
        <w:t>局部网架薄弱，如单一联网线路、单主变、单母线变电站发生故障，可能导致电网大面积停电。电网配置大量安全自动控制装置，故障方式下装置不正常动作可能引发大面积停电。</w:t>
      </w:r>
    </w:p>
    <w:p>
      <w:pPr>
        <w:pStyle w:val="5"/>
        <w:keepLines w:val="0"/>
        <w:pageBreakBefore w:val="0"/>
        <w:widowControl w:val="0"/>
        <w:kinsoku/>
        <w:wordWrap/>
        <w:overflowPunct/>
        <w:topLinePunct w:val="0"/>
        <w:autoSpaceDE/>
        <w:autoSpaceDN/>
        <w:bidi w:val="0"/>
        <w:adjustRightInd/>
        <w:snapToGrid/>
        <w:ind w:firstLine="632"/>
        <w:textAlignment w:val="auto"/>
        <w:rPr>
          <w:b w:val="0"/>
          <w:color w:val="FF0000"/>
          <w:highlight w:val="none"/>
        </w:rPr>
      </w:pPr>
      <w:r>
        <w:rPr>
          <w:rFonts w:hint="default" w:ascii="Times New Roman" w:hAnsi="Times New Roman" w:cs="Times New Roman"/>
          <w:b w:val="0"/>
          <w:color w:val="FF0000"/>
          <w:highlight w:val="none"/>
        </w:rPr>
        <w:t>3</w:t>
      </w:r>
      <w:r>
        <w:rPr>
          <w:rFonts w:hint="default" w:ascii="Times New Roman" w:hAnsi="Times New Roman" w:cs="Times New Roman"/>
          <w:bCs/>
          <w:color w:val="FF0000"/>
          <w:highlight w:val="none"/>
        </w:rPr>
        <w:t>.</w:t>
      </w:r>
      <w:r>
        <w:rPr>
          <w:rFonts w:hint="eastAsia"/>
          <w:bCs/>
          <w:color w:val="FF0000"/>
          <w:highlight w:val="none"/>
        </w:rPr>
        <w:t>设备故障风险</w:t>
      </w:r>
      <w:bookmarkEnd w:id="38"/>
      <w:bookmarkEnd w:id="39"/>
      <w:r>
        <w:rPr>
          <w:rFonts w:hint="eastAsia"/>
          <w:bCs/>
          <w:color w:val="FF0000"/>
          <w:highlight w:val="none"/>
        </w:rPr>
        <w:t>。</w:t>
      </w:r>
      <w:r>
        <w:rPr>
          <w:rFonts w:hint="eastAsia"/>
          <w:b w:val="0"/>
          <w:color w:val="FF0000"/>
          <w:highlight w:val="none"/>
        </w:rPr>
        <w:t>随着经济快速发展，用电需求及网供负荷逐年增长，在夏季高温、重负荷等特殊时段，电网设备运行面临考验。电网老旧设备仍占一定比例，重要发、输、变电设备、自动化系统故障对电网安全稳定运行构成影响。局部电网发生</w:t>
      </w:r>
      <w:r>
        <w:rPr>
          <w:rFonts w:ascii="Times New Roman" w:hAnsi="Times New Roman" w:cs="Times New Roman"/>
          <w:b w:val="0"/>
          <w:color w:val="FF0000"/>
          <w:highlight w:val="none"/>
        </w:rPr>
        <w:t>N-2</w:t>
      </w:r>
      <w:r>
        <w:rPr>
          <w:rFonts w:hint="eastAsia"/>
          <w:b w:val="0"/>
          <w:color w:val="FF0000"/>
          <w:highlight w:val="none"/>
        </w:rPr>
        <w:t>故障或检修方式下发生</w:t>
      </w:r>
      <w:r>
        <w:rPr>
          <w:rFonts w:ascii="Times New Roman" w:hAnsi="Times New Roman" w:cs="Times New Roman"/>
          <w:b w:val="0"/>
          <w:color w:val="FF0000"/>
          <w:highlight w:val="none"/>
        </w:rPr>
        <w:t>N-1</w:t>
      </w:r>
      <w:r>
        <w:rPr>
          <w:rFonts w:hint="eastAsia"/>
          <w:b w:val="0"/>
          <w:color w:val="FF0000"/>
          <w:highlight w:val="none"/>
        </w:rPr>
        <w:t>故障，或发生枢纽变电站或电厂机组全停等故障时，可能导致地区电网解裂成小系统，无法维持稳定运行，进而引发大面积停电事件。</w:t>
      </w:r>
    </w:p>
    <w:p>
      <w:pPr>
        <w:pStyle w:val="5"/>
        <w:keepLines w:val="0"/>
        <w:pageBreakBefore w:val="0"/>
        <w:widowControl w:val="0"/>
        <w:kinsoku/>
        <w:wordWrap/>
        <w:overflowPunct/>
        <w:topLinePunct w:val="0"/>
        <w:autoSpaceDE/>
        <w:autoSpaceDN/>
        <w:bidi w:val="0"/>
        <w:adjustRightInd/>
        <w:snapToGrid/>
        <w:ind w:firstLine="632"/>
        <w:textAlignment w:val="auto"/>
        <w:rPr>
          <w:b w:val="0"/>
          <w:highlight w:val="none"/>
        </w:rPr>
      </w:pPr>
      <w:bookmarkStart w:id="40" w:name="_Toc5454"/>
      <w:bookmarkStart w:id="41" w:name="_Toc8135"/>
      <w:r>
        <w:rPr>
          <w:rFonts w:ascii="Times New Roman" w:hAnsi="Times New Roman" w:cs="Times New Roman"/>
          <w:b w:val="0"/>
          <w:highlight w:val="none"/>
        </w:rPr>
        <w:t>4.</w:t>
      </w:r>
      <w:r>
        <w:rPr>
          <w:rFonts w:hint="eastAsia"/>
          <w:bCs/>
          <w:highlight w:val="none"/>
        </w:rPr>
        <w:t>外力破坏风险</w:t>
      </w:r>
      <w:bookmarkEnd w:id="40"/>
      <w:bookmarkEnd w:id="41"/>
      <w:r>
        <w:rPr>
          <w:rFonts w:hint="eastAsia"/>
          <w:bCs/>
          <w:highlight w:val="none"/>
        </w:rPr>
        <w:t>。</w:t>
      </w:r>
      <w:r>
        <w:rPr>
          <w:rFonts w:hint="eastAsia"/>
          <w:b w:val="0"/>
          <w:highlight w:val="none"/>
        </w:rPr>
        <w:t>高大速生树木大面积栽种，使电网受到外力破坏造成停电事故等风险逐步增大。在电网建设与改造项目实施过程中，电网非正常运行方式较多，部分重要负荷供电线路或变电站处于单线单变运行状态。在线路周边施工作业时，一旦发生大型施工机械违章作业、野蛮挖掘破坏电力电缆、建筑工地设施触碰导线、高层建筑落物造成线路短路故障、工地漂浮物造成变电站全停等情况，将造成极其严重的后果。以各种目的非法入侵变电站场区，甚至攀爬输电线路铁塔等情况时有发生，为电网正常稳定运行带来一定安全隐患。</w:t>
      </w:r>
      <w:bookmarkStart w:id="42" w:name="_Toc15960"/>
      <w:bookmarkStart w:id="43" w:name="_Toc3459"/>
    </w:p>
    <w:p>
      <w:pPr>
        <w:pStyle w:val="5"/>
        <w:keepLines w:val="0"/>
        <w:pageBreakBefore w:val="0"/>
        <w:widowControl w:val="0"/>
        <w:kinsoku/>
        <w:wordWrap/>
        <w:overflowPunct/>
        <w:topLinePunct w:val="0"/>
        <w:autoSpaceDE/>
        <w:autoSpaceDN/>
        <w:bidi w:val="0"/>
        <w:adjustRightInd/>
        <w:snapToGrid/>
        <w:ind w:firstLine="632"/>
        <w:textAlignment w:val="auto"/>
        <w:rPr>
          <w:b w:val="0"/>
          <w:highlight w:val="none"/>
        </w:rPr>
      </w:pPr>
      <w:r>
        <w:rPr>
          <w:rFonts w:ascii="Times New Roman" w:hAnsi="Times New Roman" w:cs="Times New Roman"/>
          <w:b w:val="0"/>
          <w:highlight w:val="none"/>
        </w:rPr>
        <w:t>5.</w:t>
      </w:r>
      <w:r>
        <w:rPr>
          <w:rFonts w:hint="eastAsia"/>
          <w:bCs/>
          <w:highlight w:val="none"/>
        </w:rPr>
        <w:t>运维人员行为风险</w:t>
      </w:r>
      <w:bookmarkEnd w:id="42"/>
      <w:bookmarkEnd w:id="43"/>
      <w:r>
        <w:rPr>
          <w:rFonts w:hint="eastAsia"/>
          <w:bCs/>
          <w:highlight w:val="none"/>
        </w:rPr>
        <w:t>。</w:t>
      </w:r>
      <w:r>
        <w:rPr>
          <w:rFonts w:hint="eastAsia"/>
          <w:b w:val="0"/>
          <w:highlight w:val="none"/>
        </w:rPr>
        <w:t>区域内城市建设、基础设施建设与电网建设处于快速发展阶段，因配合停电和检修停电迫使电网处于特殊运行方式，造成运行可靠性降低，安全风险加大。电力运行维护人员误操作或调控运行人员处置不当等可能引发大面积停电。</w:t>
      </w:r>
    </w:p>
    <w:p>
      <w:pPr>
        <w:pStyle w:val="5"/>
        <w:keepLines w:val="0"/>
        <w:pageBreakBefore w:val="0"/>
        <w:widowControl w:val="0"/>
        <w:kinsoku/>
        <w:wordWrap/>
        <w:overflowPunct/>
        <w:topLinePunct w:val="0"/>
        <w:autoSpaceDE/>
        <w:autoSpaceDN/>
        <w:bidi w:val="0"/>
        <w:adjustRightInd/>
        <w:snapToGrid/>
        <w:ind w:firstLine="632"/>
        <w:textAlignment w:val="auto"/>
        <w:rPr>
          <w:highlight w:val="none"/>
        </w:rPr>
      </w:pPr>
      <w:bookmarkStart w:id="44" w:name="_Toc7803"/>
      <w:bookmarkStart w:id="45" w:name="_Toc13687"/>
      <w:r>
        <w:rPr>
          <w:rFonts w:ascii="Times New Roman" w:hAnsi="Times New Roman" w:cs="Times New Roman"/>
          <w:b w:val="0"/>
          <w:highlight w:val="none"/>
        </w:rPr>
        <w:t>6.</w:t>
      </w:r>
      <w:r>
        <w:rPr>
          <w:rFonts w:hint="eastAsia"/>
          <w:bCs/>
          <w:highlight w:val="none"/>
        </w:rPr>
        <w:t>用电安全风险</w:t>
      </w:r>
      <w:bookmarkEnd w:id="44"/>
      <w:bookmarkEnd w:id="45"/>
      <w:r>
        <w:rPr>
          <w:rFonts w:hint="eastAsia"/>
          <w:bCs/>
          <w:highlight w:val="none"/>
        </w:rPr>
        <w:t>。</w:t>
      </w:r>
      <w:r>
        <w:rPr>
          <w:rFonts w:hint="eastAsia"/>
          <w:b w:val="0"/>
          <w:highlight w:val="none"/>
        </w:rPr>
        <w:t>部分用电单位对电力设施的安全运行重视不够，少数值班人员不具备上岗资格，存在供电电源未达配置标准、保安电源缺少或保安电源不能启动等问题。</w:t>
      </w:r>
    </w:p>
    <w:p>
      <w:pPr>
        <w:pStyle w:val="5"/>
        <w:keepLines w:val="0"/>
        <w:pageBreakBefore w:val="0"/>
        <w:widowControl w:val="0"/>
        <w:kinsoku/>
        <w:wordWrap/>
        <w:overflowPunct/>
        <w:topLinePunct w:val="0"/>
        <w:autoSpaceDE/>
        <w:autoSpaceDN/>
        <w:bidi w:val="0"/>
        <w:adjustRightInd/>
        <w:snapToGrid/>
        <w:ind w:firstLine="632"/>
        <w:textAlignment w:val="auto"/>
        <w:rPr>
          <w:b w:val="0"/>
          <w:highlight w:val="none"/>
        </w:rPr>
      </w:pPr>
      <w:bookmarkStart w:id="46" w:name="_Toc10234"/>
      <w:bookmarkStart w:id="47" w:name="_Toc6099"/>
      <w:r>
        <w:rPr>
          <w:rFonts w:hint="eastAsia" w:ascii="Times New Roman" w:hAnsi="Times New Roman" w:cs="Times New Roman"/>
          <w:b w:val="0"/>
          <w:highlight w:val="none"/>
        </w:rPr>
        <w:t>7.</w:t>
      </w:r>
      <w:r>
        <w:rPr>
          <w:rFonts w:hint="eastAsia"/>
          <w:bCs/>
          <w:highlight w:val="none"/>
        </w:rPr>
        <w:t>网络安全风险</w:t>
      </w:r>
      <w:bookmarkEnd w:id="46"/>
      <w:bookmarkEnd w:id="47"/>
      <w:r>
        <w:rPr>
          <w:rFonts w:hint="eastAsia"/>
          <w:bCs/>
          <w:highlight w:val="none"/>
        </w:rPr>
        <w:t>。</w:t>
      </w:r>
      <w:r>
        <w:rPr>
          <w:rFonts w:hint="eastAsia"/>
          <w:b w:val="0"/>
          <w:highlight w:val="none"/>
        </w:rPr>
        <w:t>黑客入侵：由于网络边界上的系统安全漏洞或管理方面缺陷，容易导致黑客成功入侵，窃取、破坏或修改电力企业数据。信息泄漏：由于电力企业内部管理不善，如信息分级不合理、信息审查不严和不当授权等，容易导致信息外泄，威胁电力企业信息网络安全。拒绝服务攻击：</w:t>
      </w:r>
      <w:r>
        <w:rPr>
          <w:rFonts w:hint="eastAsia" w:ascii="Times New Roman" w:hAnsi="Times New Roman" w:cs="Times New Roman"/>
          <w:b w:val="0"/>
          <w:highlight w:val="none"/>
        </w:rPr>
        <w:t>通过消耗用户资源增加</w:t>
      </w:r>
      <w:r>
        <w:rPr>
          <w:rFonts w:ascii="Times New Roman" w:hAnsi="Times New Roman" w:cs="Times New Roman"/>
          <w:b w:val="0"/>
          <w:highlight w:val="none"/>
        </w:rPr>
        <w:t>CPU</w:t>
      </w:r>
      <w:r>
        <w:rPr>
          <w:rFonts w:hint="eastAsia" w:ascii="Times New Roman" w:hAnsi="Times New Roman" w:cs="Times New Roman"/>
          <w:b w:val="0"/>
          <w:highlight w:val="none"/>
        </w:rPr>
        <w:t>负荷，当系统资源消耗超出</w:t>
      </w:r>
      <w:r>
        <w:rPr>
          <w:rFonts w:ascii="Times New Roman" w:hAnsi="Times New Roman" w:cs="Times New Roman"/>
          <w:b w:val="0"/>
          <w:highlight w:val="none"/>
        </w:rPr>
        <w:t>CPU</w:t>
      </w:r>
      <w:r>
        <w:rPr>
          <w:rFonts w:hint="eastAsia" w:ascii="Times New Roman" w:hAnsi="Times New Roman" w:cs="Times New Roman"/>
          <w:b w:val="0"/>
          <w:highlight w:val="none"/>
        </w:rPr>
        <w:t>负</w:t>
      </w:r>
      <w:r>
        <w:rPr>
          <w:rFonts w:hint="eastAsia"/>
          <w:b w:val="0"/>
          <w:highlight w:val="none"/>
        </w:rPr>
        <w:t>荷能力时，网络正常服务失效。网络病毒：计算机网络病毒的传播速度和传播范围程度惊人，严重威胁电力企业网络安全。</w:t>
      </w:r>
    </w:p>
    <w:p>
      <w:pPr>
        <w:pStyle w:val="4"/>
        <w:keepLines w:val="0"/>
        <w:pageBreakBefore w:val="0"/>
        <w:widowControl w:val="0"/>
        <w:kinsoku/>
        <w:wordWrap/>
        <w:overflowPunct/>
        <w:topLinePunct w:val="0"/>
        <w:autoSpaceDE/>
        <w:autoSpaceDN/>
        <w:bidi w:val="0"/>
        <w:adjustRightInd/>
        <w:snapToGrid/>
        <w:ind w:firstLine="632"/>
        <w:textAlignment w:val="auto"/>
        <w:rPr>
          <w:rFonts w:ascii="楷体" w:hAnsi="楷体" w:cs="楷体"/>
          <w:b w:val="0"/>
          <w:highlight w:val="none"/>
        </w:rPr>
      </w:pPr>
      <w:bookmarkStart w:id="48" w:name="_Toc6404"/>
      <w:bookmarkStart w:id="49" w:name="_Toc6842"/>
      <w:r>
        <w:rPr>
          <w:rFonts w:hint="eastAsia" w:ascii="楷体" w:hAnsi="楷体" w:cs="楷体"/>
          <w:b w:val="0"/>
          <w:highlight w:val="none"/>
        </w:rPr>
        <w:t>（二）危害程度分析</w:t>
      </w:r>
      <w:bookmarkEnd w:id="48"/>
      <w:bookmarkEnd w:id="49"/>
    </w:p>
    <w:p>
      <w:pPr>
        <w:keepLines w:val="0"/>
        <w:pageBreakBefore w:val="0"/>
        <w:widowControl w:val="0"/>
        <w:kinsoku/>
        <w:wordWrap/>
        <w:overflowPunct/>
        <w:topLinePunct w:val="0"/>
        <w:autoSpaceDE/>
        <w:autoSpaceDN/>
        <w:bidi w:val="0"/>
        <w:adjustRightInd/>
        <w:snapToGrid/>
        <w:ind w:firstLine="632"/>
        <w:textAlignment w:val="auto"/>
        <w:rPr>
          <w:highlight w:val="none"/>
        </w:rPr>
      </w:pPr>
      <w:bookmarkStart w:id="50" w:name="_Toc1907"/>
      <w:r>
        <w:rPr>
          <w:rFonts w:hint="eastAsia"/>
          <w:highlight w:val="none"/>
        </w:rPr>
        <w:t>大面积停电事件在严重破坏正常生产经营秩序的同时，对重要基础设施造成巨大影响，可能导致交通、通信瘫痪，水、气、煤、油、热等供应中断，甚至对社会安定、国家安全造成极大威胁。可能导致政府部门、军队、公安、消防等重要机构电力供应中断，影响其正常运转，不利于社会安定和国家安全。可能导致大型商场、广场、影剧院、住宅小区、医院、学校等高密度人口聚集点基础设施电力供应中断，引发群众恐慌，严重影响社会秩序。可能导致城市交通拥塞甚至瘫痪，铁路、公路电力供应中断，大批旅客滞留。可能导致化工、冶金、煤矿、非煤矿山等高危用户电力供应中断，引发生产运营事故及次生衍生灾害。大面积停电事件在当前新媒体时代极易成为社会舆论热点，可能引起公众恐慌，影响社会稳定。</w:t>
      </w:r>
    </w:p>
    <w:p>
      <w:pPr>
        <w:pStyle w:val="4"/>
        <w:keepLines w:val="0"/>
        <w:pageBreakBefore w:val="0"/>
        <w:widowControl w:val="0"/>
        <w:kinsoku/>
        <w:wordWrap/>
        <w:overflowPunct/>
        <w:topLinePunct w:val="0"/>
        <w:autoSpaceDE/>
        <w:autoSpaceDN/>
        <w:bidi w:val="0"/>
        <w:adjustRightInd/>
        <w:snapToGrid/>
        <w:ind w:firstLine="632"/>
        <w:textAlignment w:val="auto"/>
        <w:rPr>
          <w:rFonts w:ascii="楷体" w:hAnsi="楷体" w:cs="楷体"/>
          <w:b w:val="0"/>
          <w:highlight w:val="none"/>
        </w:rPr>
      </w:pPr>
      <w:bookmarkStart w:id="51" w:name="_Toc24148"/>
      <w:r>
        <w:rPr>
          <w:rFonts w:hint="eastAsia" w:ascii="楷体" w:hAnsi="楷体" w:cs="楷体"/>
          <w:b w:val="0"/>
          <w:highlight w:val="none"/>
        </w:rPr>
        <w:t>（三）监测</w:t>
      </w:r>
      <w:bookmarkEnd w:id="50"/>
      <w:bookmarkEnd w:id="51"/>
    </w:p>
    <w:p>
      <w:pPr>
        <w:keepLines w:val="0"/>
        <w:pageBreakBefore w:val="0"/>
        <w:widowControl w:val="0"/>
        <w:kinsoku/>
        <w:wordWrap/>
        <w:overflowPunct/>
        <w:topLinePunct w:val="0"/>
        <w:autoSpaceDE/>
        <w:autoSpaceDN/>
        <w:bidi w:val="0"/>
        <w:adjustRightInd/>
        <w:snapToGrid/>
        <w:ind w:firstLine="632"/>
        <w:textAlignment w:val="auto"/>
        <w:rPr>
          <w:highlight w:val="none"/>
        </w:rPr>
      </w:pPr>
      <w:r>
        <w:rPr>
          <w:rFonts w:hint="eastAsia"/>
          <w:highlight w:val="none"/>
        </w:rPr>
        <w:t>气象、水利、林业、地震、公安、交通运输等部门要将涉及电网安全的相关数据纳入日常监测范围，划分自然灾害易发区，加强预测预报，提高灾害预测和预警能力。</w:t>
      </w:r>
    </w:p>
    <w:p>
      <w:pPr>
        <w:keepLines w:val="0"/>
        <w:pageBreakBefore w:val="0"/>
        <w:widowControl w:val="0"/>
        <w:kinsoku/>
        <w:wordWrap/>
        <w:overflowPunct/>
        <w:topLinePunct w:val="0"/>
        <w:autoSpaceDE/>
        <w:autoSpaceDN/>
        <w:bidi w:val="0"/>
        <w:adjustRightInd/>
        <w:snapToGrid/>
        <w:ind w:firstLine="632"/>
        <w:textAlignment w:val="auto"/>
        <w:rPr>
          <w:highlight w:val="none"/>
        </w:rPr>
      </w:pPr>
      <w:r>
        <w:rPr>
          <w:rFonts w:hint="eastAsia"/>
          <w:highlight w:val="none"/>
        </w:rPr>
        <w:t>电网企业（包括国网</w:t>
      </w:r>
      <w:r>
        <w:rPr>
          <w:rFonts w:hint="eastAsia"/>
          <w:highlight w:val="none"/>
          <w:lang w:eastAsia="zh-CN"/>
        </w:rPr>
        <w:t>通化</w:t>
      </w:r>
      <w:r>
        <w:rPr>
          <w:rFonts w:hint="eastAsia"/>
          <w:highlight w:val="none"/>
        </w:rPr>
        <w:t>供电公司及所属县级供电公司）应建立完备的事故监测、预警、报告和应急处理工作制度，对隐患早发现、早处理，尽量将事故控制在初发阶段和局部地区，防止事故扩大化。应开展电网及重要设施设备运行等情况日常监测，与发电企业及气象、林业、地震、水利等部门建立信息共享机制，分析各类情况对电力运行可能造成的影响，预估可能影响的范围和程度。</w:t>
      </w:r>
    </w:p>
    <w:p>
      <w:pPr>
        <w:keepLines w:val="0"/>
        <w:pageBreakBefore w:val="0"/>
        <w:widowControl w:val="0"/>
        <w:kinsoku/>
        <w:wordWrap/>
        <w:overflowPunct/>
        <w:topLinePunct w:val="0"/>
        <w:autoSpaceDE/>
        <w:autoSpaceDN/>
        <w:bidi w:val="0"/>
        <w:adjustRightInd/>
        <w:snapToGrid/>
        <w:ind w:firstLine="632"/>
        <w:textAlignment w:val="auto"/>
        <w:rPr>
          <w:highlight w:val="none"/>
        </w:rPr>
      </w:pPr>
      <w:r>
        <w:rPr>
          <w:rFonts w:hint="eastAsia"/>
          <w:highlight w:val="none"/>
        </w:rPr>
        <w:t>发电企业（包括各发电集团分公司及所属发电厂、其他并网发电厂等）应开展燃料供应、发电设备运行等情况日常监测，及时报电网调度机构。市气象、水利、公安、交通、规自、住建、发改等部门应密切关注并收集可能影响电力运行的信息，及时通报相关发电企业并协助开展风险分析。</w:t>
      </w:r>
    </w:p>
    <w:p>
      <w:pPr>
        <w:keepLines w:val="0"/>
        <w:pageBreakBefore w:val="0"/>
        <w:widowControl w:val="0"/>
        <w:kinsoku/>
        <w:wordWrap/>
        <w:overflowPunct/>
        <w:topLinePunct w:val="0"/>
        <w:autoSpaceDE/>
        <w:autoSpaceDN/>
        <w:bidi w:val="0"/>
        <w:adjustRightInd/>
        <w:snapToGrid/>
        <w:ind w:firstLine="632"/>
        <w:textAlignment w:val="auto"/>
        <w:rPr>
          <w:highlight w:val="none"/>
        </w:rPr>
      </w:pPr>
      <w:r>
        <w:rPr>
          <w:rFonts w:hint="eastAsia"/>
          <w:highlight w:val="none"/>
        </w:rPr>
        <w:t>各级政府、相关部门和单位还应通过舆情监测、互联网感知、民众报告等渠道获得预警信息，设立接待室、热线电话等方便接收民众报告。</w:t>
      </w:r>
    </w:p>
    <w:p>
      <w:pPr>
        <w:pStyle w:val="4"/>
        <w:keepLines w:val="0"/>
        <w:pageBreakBefore w:val="0"/>
        <w:widowControl w:val="0"/>
        <w:kinsoku/>
        <w:wordWrap/>
        <w:overflowPunct/>
        <w:topLinePunct w:val="0"/>
        <w:autoSpaceDE/>
        <w:autoSpaceDN/>
        <w:bidi w:val="0"/>
        <w:adjustRightInd/>
        <w:snapToGrid/>
        <w:ind w:firstLine="632"/>
        <w:textAlignment w:val="auto"/>
        <w:rPr>
          <w:rFonts w:ascii="楷体" w:hAnsi="楷体" w:cs="楷体"/>
          <w:b w:val="0"/>
          <w:highlight w:val="none"/>
        </w:rPr>
      </w:pPr>
      <w:bookmarkStart w:id="52" w:name="_Toc23116"/>
      <w:bookmarkStart w:id="53" w:name="_Toc11949"/>
      <w:r>
        <w:rPr>
          <w:rFonts w:hint="eastAsia" w:ascii="楷体" w:hAnsi="楷体" w:cs="楷体"/>
          <w:b w:val="0"/>
          <w:highlight w:val="none"/>
        </w:rPr>
        <w:t>（四）预警</w:t>
      </w:r>
      <w:bookmarkEnd w:id="52"/>
      <w:bookmarkEnd w:id="53"/>
    </w:p>
    <w:p>
      <w:pPr>
        <w:pStyle w:val="5"/>
        <w:keepLines w:val="0"/>
        <w:pageBreakBefore w:val="0"/>
        <w:widowControl w:val="0"/>
        <w:kinsoku/>
        <w:wordWrap/>
        <w:overflowPunct/>
        <w:topLinePunct w:val="0"/>
        <w:autoSpaceDE/>
        <w:autoSpaceDN/>
        <w:bidi w:val="0"/>
        <w:adjustRightInd/>
        <w:snapToGrid/>
        <w:ind w:firstLine="632"/>
        <w:textAlignment w:val="auto"/>
        <w:rPr>
          <w:b w:val="0"/>
          <w:highlight w:val="none"/>
        </w:rPr>
      </w:pPr>
      <w:bookmarkStart w:id="54" w:name="_Toc7907"/>
      <w:bookmarkStart w:id="55" w:name="_Toc11253"/>
      <w:r>
        <w:rPr>
          <w:rFonts w:ascii="Times New Roman" w:hAnsi="Times New Roman" w:cs="Times New Roman"/>
          <w:b w:val="0"/>
          <w:highlight w:val="none"/>
        </w:rPr>
        <w:t>1.</w:t>
      </w:r>
      <w:r>
        <w:rPr>
          <w:rFonts w:hint="eastAsia"/>
          <w:bCs/>
          <w:highlight w:val="none"/>
        </w:rPr>
        <w:t>预警信息发布</w:t>
      </w:r>
      <w:bookmarkEnd w:id="54"/>
      <w:bookmarkEnd w:id="55"/>
      <w:r>
        <w:rPr>
          <w:rFonts w:hint="eastAsia"/>
          <w:bCs/>
          <w:highlight w:val="none"/>
        </w:rPr>
        <w:t>。</w:t>
      </w:r>
      <w:r>
        <w:rPr>
          <w:rFonts w:hint="eastAsia"/>
          <w:b w:val="0"/>
          <w:highlight w:val="none"/>
        </w:rPr>
        <w:t>各级电网企业分析可能发生大面积停电事件时，要及时将有关情况报告受影响区域的县（市）区级发改部门，提出预警信息发布建议，并视情通知重要电力用户。县（市）区级发改部门应及时组织研判，必要时报请县（市）区级人民政府批准后，通过预警信息发布平台等渠道向社会公众发布预警，并通报同级其它相关部门和单位。当可能发生较大以上大面积停电事件时，电网企业同时报告市发改委和省能源局。</w:t>
      </w:r>
    </w:p>
    <w:p>
      <w:pPr>
        <w:pStyle w:val="5"/>
        <w:keepLines w:val="0"/>
        <w:pageBreakBefore w:val="0"/>
        <w:widowControl w:val="0"/>
        <w:kinsoku/>
        <w:wordWrap/>
        <w:overflowPunct/>
        <w:topLinePunct w:val="0"/>
        <w:autoSpaceDE/>
        <w:autoSpaceDN/>
        <w:bidi w:val="0"/>
        <w:adjustRightInd/>
        <w:snapToGrid/>
        <w:ind w:firstLine="632"/>
        <w:textAlignment w:val="auto"/>
        <w:rPr>
          <w:b w:val="0"/>
          <w:highlight w:val="none"/>
        </w:rPr>
      </w:pPr>
      <w:bookmarkStart w:id="56" w:name="_Toc15253"/>
      <w:bookmarkStart w:id="57" w:name="_Toc16677"/>
      <w:r>
        <w:rPr>
          <w:rFonts w:ascii="Times New Roman" w:hAnsi="Times New Roman" w:cs="Times New Roman"/>
          <w:b w:val="0"/>
          <w:highlight w:val="none"/>
        </w:rPr>
        <w:t>2.</w:t>
      </w:r>
      <w:r>
        <w:rPr>
          <w:rFonts w:hint="eastAsia"/>
          <w:bCs/>
          <w:highlight w:val="none"/>
        </w:rPr>
        <w:t>预警行动</w:t>
      </w:r>
      <w:bookmarkEnd w:id="56"/>
      <w:bookmarkEnd w:id="57"/>
      <w:r>
        <w:rPr>
          <w:rFonts w:hint="eastAsia"/>
          <w:bCs/>
          <w:highlight w:val="none"/>
        </w:rPr>
        <w:t>。</w:t>
      </w:r>
      <w:r>
        <w:rPr>
          <w:rFonts w:hint="eastAsia"/>
          <w:b w:val="0"/>
          <w:highlight w:val="none"/>
        </w:rPr>
        <w:t>预警信息发布后，电网企业要加强设备巡查检修和运行监测，采取有效措施控制事态发展；组织相关应急救援队伍和人员进入待命状态，动员后备人员做好参加应急救援和处置工作准备，并做好大面积停电事件应急所需物资、装备和设备等应急保障准备工作。重要电力用户做好自备应急电源启用准备。受影响区域县（市）区级人民政府启动应急联动机制，组织有关部门和单位做好维持公共秩序、供水供气、商品供应、交通物流等方面的应急准备；加强相关舆情监测，主动回应社会公众关注的热点问题，及时澄清谣言传言，做好舆论引导工作。</w:t>
      </w:r>
    </w:p>
    <w:p>
      <w:pPr>
        <w:pStyle w:val="5"/>
        <w:keepLines w:val="0"/>
        <w:pageBreakBefore w:val="0"/>
        <w:widowControl w:val="0"/>
        <w:kinsoku/>
        <w:wordWrap/>
        <w:overflowPunct/>
        <w:topLinePunct w:val="0"/>
        <w:autoSpaceDE/>
        <w:autoSpaceDN/>
        <w:bidi w:val="0"/>
        <w:adjustRightInd/>
        <w:snapToGrid/>
        <w:ind w:firstLine="632"/>
        <w:textAlignment w:val="auto"/>
        <w:rPr>
          <w:b w:val="0"/>
          <w:highlight w:val="none"/>
        </w:rPr>
      </w:pPr>
      <w:bookmarkStart w:id="58" w:name="_Toc21501"/>
      <w:bookmarkStart w:id="59" w:name="_Toc16119"/>
      <w:r>
        <w:rPr>
          <w:rFonts w:ascii="Times New Roman" w:hAnsi="Times New Roman" w:cs="Times New Roman"/>
          <w:b w:val="0"/>
          <w:highlight w:val="none"/>
        </w:rPr>
        <w:t>3.</w:t>
      </w:r>
      <w:r>
        <w:rPr>
          <w:rFonts w:hint="eastAsia"/>
          <w:bCs/>
          <w:highlight w:val="none"/>
        </w:rPr>
        <w:t>预警解除</w:t>
      </w:r>
      <w:bookmarkEnd w:id="58"/>
      <w:bookmarkEnd w:id="59"/>
      <w:r>
        <w:rPr>
          <w:rFonts w:hint="eastAsia"/>
          <w:bCs/>
          <w:highlight w:val="none"/>
        </w:rPr>
        <w:t>。</w:t>
      </w:r>
      <w:r>
        <w:rPr>
          <w:rFonts w:hint="eastAsia"/>
          <w:b w:val="0"/>
          <w:highlight w:val="none"/>
        </w:rPr>
        <w:t>根据事态发展，经研判不会发生大面积停电事件时，按照“谁发布、谁解除”的原则，由发布单位宣布解除预警，适时终止相关措施。</w:t>
      </w:r>
    </w:p>
    <w:p>
      <w:pPr>
        <w:pStyle w:val="4"/>
        <w:keepLines w:val="0"/>
        <w:pageBreakBefore w:val="0"/>
        <w:widowControl w:val="0"/>
        <w:kinsoku/>
        <w:wordWrap/>
        <w:overflowPunct/>
        <w:topLinePunct w:val="0"/>
        <w:autoSpaceDE/>
        <w:autoSpaceDN/>
        <w:bidi w:val="0"/>
        <w:adjustRightInd/>
        <w:snapToGrid/>
        <w:ind w:firstLine="632"/>
        <w:textAlignment w:val="auto"/>
        <w:rPr>
          <w:rFonts w:ascii="楷体" w:hAnsi="楷体" w:cs="楷体"/>
          <w:b w:val="0"/>
          <w:highlight w:val="none"/>
        </w:rPr>
      </w:pPr>
      <w:bookmarkStart w:id="60" w:name="_Toc4497"/>
      <w:bookmarkStart w:id="61" w:name="_Toc1024"/>
      <w:r>
        <w:rPr>
          <w:rFonts w:hint="eastAsia" w:ascii="楷体" w:hAnsi="楷体" w:cs="楷体"/>
          <w:b w:val="0"/>
          <w:highlight w:val="none"/>
        </w:rPr>
        <w:t>（五）信息报告</w:t>
      </w:r>
      <w:bookmarkEnd w:id="60"/>
      <w:bookmarkEnd w:id="61"/>
    </w:p>
    <w:p>
      <w:pPr>
        <w:pStyle w:val="5"/>
        <w:keepLines w:val="0"/>
        <w:pageBreakBefore w:val="0"/>
        <w:widowControl w:val="0"/>
        <w:kinsoku/>
        <w:wordWrap/>
        <w:overflowPunct/>
        <w:topLinePunct w:val="0"/>
        <w:autoSpaceDE/>
        <w:autoSpaceDN/>
        <w:bidi w:val="0"/>
        <w:adjustRightInd/>
        <w:snapToGrid/>
        <w:ind w:firstLine="632"/>
        <w:textAlignment w:val="auto"/>
        <w:rPr>
          <w:b w:val="0"/>
          <w:highlight w:val="none"/>
        </w:rPr>
      </w:pPr>
      <w:bookmarkStart w:id="62" w:name="_Toc3504"/>
      <w:bookmarkStart w:id="63" w:name="_Toc21899"/>
      <w:r>
        <w:rPr>
          <w:rFonts w:hint="eastAsia" w:ascii="Times New Roman" w:hAnsi="Times New Roman" w:cs="Times New Roman"/>
          <w:b w:val="0"/>
          <w:highlight w:val="none"/>
        </w:rPr>
        <w:t>1.</w:t>
      </w:r>
      <w:r>
        <w:rPr>
          <w:rFonts w:hint="eastAsia"/>
          <w:bCs/>
          <w:highlight w:val="none"/>
        </w:rPr>
        <w:t>报告程序</w:t>
      </w:r>
      <w:bookmarkEnd w:id="62"/>
      <w:bookmarkEnd w:id="63"/>
      <w:r>
        <w:rPr>
          <w:rFonts w:hint="eastAsia"/>
          <w:bCs/>
          <w:highlight w:val="none"/>
        </w:rPr>
        <w:t>。</w:t>
      </w:r>
      <w:r>
        <w:rPr>
          <w:rFonts w:hint="eastAsia"/>
          <w:b w:val="0"/>
          <w:highlight w:val="none"/>
        </w:rPr>
        <w:t>事发地人民政府或国网吉林供电公司接到大面积停电事件信息报告或监测到相关信息后，应立即组织相关人员进行核实，对大面积停电事件的性质和类别作出初步认定，并根据初步认定结果按照如下程序进行报告。</w:t>
      </w:r>
    </w:p>
    <w:p>
      <w:pPr>
        <w:keepLines w:val="0"/>
        <w:pageBreakBefore w:val="0"/>
        <w:widowControl w:val="0"/>
        <w:kinsoku/>
        <w:wordWrap/>
        <w:overflowPunct/>
        <w:topLinePunct w:val="0"/>
        <w:autoSpaceDE/>
        <w:autoSpaceDN/>
        <w:bidi w:val="0"/>
        <w:adjustRightInd/>
        <w:snapToGrid/>
        <w:ind w:firstLine="632"/>
        <w:textAlignment w:val="auto"/>
        <w:rPr>
          <w:highlight w:val="none"/>
        </w:rPr>
      </w:pPr>
      <w:r>
        <w:rPr>
          <w:rFonts w:hint="default" w:ascii="Times New Roman" w:hAnsi="Times New Roman" w:cs="Times New Roman"/>
          <w:highlight w:val="none"/>
        </w:rPr>
        <w:t>（1）</w:t>
      </w:r>
      <w:r>
        <w:rPr>
          <w:rFonts w:hint="eastAsia"/>
          <w:highlight w:val="none"/>
        </w:rPr>
        <w:t>当可能发生一般及以上大面积停电事件时，国网</w:t>
      </w:r>
      <w:r>
        <w:rPr>
          <w:rFonts w:hint="eastAsia"/>
          <w:highlight w:val="none"/>
          <w:lang w:eastAsia="zh-CN"/>
        </w:rPr>
        <w:t>通化</w:t>
      </w:r>
      <w:r>
        <w:rPr>
          <w:rFonts w:hint="eastAsia"/>
          <w:highlight w:val="none"/>
        </w:rPr>
        <w:t>供电公司应急指挥机构要迅速启动相应预案，并立即将停电范围、停电负荷、发展趋势等有关情况向市电力应急指挥部和省电力公司应急指挥机构报告。市电力应急指挥部应在事发后</w:t>
      </w:r>
      <w:r>
        <w:rPr>
          <w:rFonts w:ascii="Times New Roman" w:hAnsi="Times New Roman" w:cs="Times New Roman"/>
          <w:highlight w:val="none"/>
        </w:rPr>
        <w:t>30</w:t>
      </w:r>
      <w:r>
        <w:rPr>
          <w:rFonts w:hint="eastAsia"/>
          <w:highlight w:val="none"/>
        </w:rPr>
        <w:t>分钟内电话报告市人民政府，并在事发后</w:t>
      </w:r>
      <w:r>
        <w:rPr>
          <w:rFonts w:hint="eastAsia" w:ascii="Times New Roman" w:hAnsi="Times New Roman" w:cs="Times New Roman"/>
          <w:highlight w:val="none"/>
          <w:lang w:val="en-US" w:eastAsia="zh-CN"/>
        </w:rPr>
        <w:t>1</w:t>
      </w:r>
      <w:r>
        <w:rPr>
          <w:rFonts w:hint="eastAsia"/>
          <w:highlight w:val="none"/>
        </w:rPr>
        <w:t>小时内形成书面报告报市人民政府。市电力应急指挥部总指挥组织召开紧急会议，就有关重大应急问题作出决策和部署，并将有关情况向省电力应急指挥部汇报</w:t>
      </w:r>
      <w:r>
        <w:rPr>
          <w:rFonts w:hint="eastAsia"/>
          <w:highlight w:val="none"/>
          <w:lang w:eastAsia="zh-CN"/>
        </w:rPr>
        <w:t>，</w:t>
      </w:r>
      <w:r>
        <w:rPr>
          <w:rFonts w:hint="eastAsia"/>
          <w:highlight w:val="none"/>
        </w:rPr>
        <w:t>同时启动市级相应的应急预案。各县（市）区级应急指挥机构、县级电网公司等要迅速启动相应的应急预案</w:t>
      </w:r>
      <w:r>
        <w:rPr>
          <w:rFonts w:hint="eastAsia"/>
          <w:highlight w:val="none"/>
          <w:lang w:val="en-US" w:eastAsia="zh-CN"/>
        </w:rPr>
        <w:t>进行先期处置</w:t>
      </w:r>
      <w:r>
        <w:rPr>
          <w:rFonts w:hint="eastAsia"/>
          <w:highlight w:val="none"/>
        </w:rPr>
        <w:t>，</w:t>
      </w:r>
      <w:r>
        <w:rPr>
          <w:rFonts w:hint="eastAsia"/>
          <w:highlight w:val="none"/>
          <w:lang w:val="en-US" w:eastAsia="zh-CN"/>
        </w:rPr>
        <w:t>并</w:t>
      </w:r>
      <w:r>
        <w:rPr>
          <w:rFonts w:hint="eastAsia"/>
          <w:highlight w:val="none"/>
        </w:rPr>
        <w:t>立即将停电范围、停电负荷、发展趋势等有关情况向市电力应急指挥部报告</w:t>
      </w:r>
      <w:r>
        <w:rPr>
          <w:rFonts w:hint="eastAsia"/>
          <w:highlight w:val="none"/>
          <w:lang w:eastAsia="zh-CN"/>
        </w:rPr>
        <w:t>。</w:t>
      </w:r>
    </w:p>
    <w:p>
      <w:pPr>
        <w:keepLines w:val="0"/>
        <w:pageBreakBefore w:val="0"/>
        <w:widowControl w:val="0"/>
        <w:kinsoku/>
        <w:wordWrap/>
        <w:overflowPunct/>
        <w:topLinePunct w:val="0"/>
        <w:autoSpaceDE/>
        <w:autoSpaceDN/>
        <w:bidi w:val="0"/>
        <w:adjustRightInd/>
        <w:snapToGrid/>
        <w:ind w:firstLine="632"/>
        <w:textAlignment w:val="auto"/>
        <w:rPr>
          <w:highlight w:val="none"/>
        </w:rPr>
      </w:pPr>
      <w:r>
        <w:rPr>
          <w:rFonts w:hint="default" w:ascii="Times New Roman" w:hAnsi="Times New Roman" w:cs="Times New Roman"/>
          <w:highlight w:val="none"/>
        </w:rPr>
        <w:t>（2）</w:t>
      </w:r>
      <w:r>
        <w:rPr>
          <w:rFonts w:hint="eastAsia"/>
          <w:highlight w:val="none"/>
        </w:rPr>
        <w:t>发生一般以下（不含一般）停电事件时，各县（市）区级应急指挥机构、县级电网公司等要迅速启动相应的应急预案，立即将停电范围、停电负荷、发展趋势等有关情况向县级电力应急指挥部和国网</w:t>
      </w:r>
      <w:r>
        <w:rPr>
          <w:rFonts w:hint="eastAsia"/>
          <w:highlight w:val="none"/>
          <w:lang w:eastAsia="zh-CN"/>
        </w:rPr>
        <w:t>通化</w:t>
      </w:r>
      <w:r>
        <w:rPr>
          <w:rFonts w:hint="eastAsia"/>
          <w:highlight w:val="none"/>
        </w:rPr>
        <w:t>供电公司应急指挥机构报告，县（市）区级人民政府电力应急指挥机构召开紧急会议，就有关应急问题作出决策和部署。同时启动县级应急预案。</w:t>
      </w:r>
    </w:p>
    <w:p>
      <w:pPr>
        <w:keepLines w:val="0"/>
        <w:pageBreakBefore w:val="0"/>
        <w:widowControl w:val="0"/>
        <w:kinsoku/>
        <w:wordWrap/>
        <w:overflowPunct/>
        <w:topLinePunct w:val="0"/>
        <w:autoSpaceDE/>
        <w:autoSpaceDN/>
        <w:bidi w:val="0"/>
        <w:adjustRightInd/>
        <w:snapToGrid/>
        <w:ind w:firstLine="632"/>
        <w:textAlignment w:val="auto"/>
        <w:rPr>
          <w:highlight w:val="none"/>
        </w:rPr>
      </w:pPr>
      <w:r>
        <w:rPr>
          <w:rFonts w:hint="default" w:ascii="Times New Roman" w:hAnsi="Times New Roman" w:cs="Times New Roman"/>
          <w:highlight w:val="none"/>
        </w:rPr>
        <w:t>（3）</w:t>
      </w:r>
      <w:r>
        <w:rPr>
          <w:rFonts w:hint="eastAsia"/>
          <w:highlight w:val="none"/>
        </w:rPr>
        <w:t>热电厂事故影响热力正常供应的，应同时向供热管理部门报告；事故涉及水电厂（站）大坝安全的，应同时向有管辖权的行政主管部门或者流域管理机构报告；当可能引发生产安全事故时，应同时向事发地应急管理部门报告；当可能引发突发环境事件时，应同时向事发地生态环境部门报告。</w:t>
      </w:r>
    </w:p>
    <w:p>
      <w:pPr>
        <w:pStyle w:val="5"/>
        <w:keepLines w:val="0"/>
        <w:pageBreakBefore w:val="0"/>
        <w:widowControl w:val="0"/>
        <w:kinsoku/>
        <w:wordWrap/>
        <w:overflowPunct/>
        <w:topLinePunct w:val="0"/>
        <w:autoSpaceDE/>
        <w:autoSpaceDN/>
        <w:bidi w:val="0"/>
        <w:adjustRightInd/>
        <w:snapToGrid/>
        <w:ind w:firstLine="632"/>
        <w:textAlignment w:val="auto"/>
        <w:rPr>
          <w:b w:val="0"/>
          <w:highlight w:val="none"/>
        </w:rPr>
      </w:pPr>
      <w:bookmarkStart w:id="64" w:name="_Toc30000"/>
      <w:bookmarkStart w:id="65" w:name="_Toc5223"/>
      <w:r>
        <w:rPr>
          <w:rFonts w:ascii="Times New Roman" w:hAnsi="Times New Roman" w:cs="Times New Roman"/>
          <w:b w:val="0"/>
          <w:highlight w:val="none"/>
        </w:rPr>
        <w:t>2.</w:t>
      </w:r>
      <w:r>
        <w:rPr>
          <w:rFonts w:hint="eastAsia"/>
          <w:bCs/>
          <w:highlight w:val="none"/>
        </w:rPr>
        <w:t>报告内容</w:t>
      </w:r>
      <w:bookmarkEnd w:id="64"/>
      <w:bookmarkEnd w:id="65"/>
      <w:r>
        <w:rPr>
          <w:rFonts w:hint="eastAsia"/>
          <w:bCs/>
          <w:highlight w:val="none"/>
        </w:rPr>
        <w:t>。</w:t>
      </w:r>
      <w:r>
        <w:rPr>
          <w:rFonts w:hint="eastAsia"/>
          <w:b w:val="0"/>
          <w:highlight w:val="none"/>
        </w:rPr>
        <w:t>电力企业及其有关人员必须及时、准确、如实报告，不得迟报、漏报或者瞒报、谎报事件情况，不得故意破坏事故现场、毁灭有关证据和扰乱现场秩序。事件报告后出现新情况的，应当及时补报。事件报告应当包括下列内容：事件或事故发生的时间、地点、级别、人员伤亡情况，设备、设施损失及对供电造成影响的情况；事件基本情况，事件简要经过，先期处置情况，直接经济损失；事件或事故原因的初步分析或基本结论；事故发生后采取的措施、电网运行方式、发电机组运行状况以及事故控制情况；事件报告单位、签发人及报告时间；其他应当报告的情况。</w:t>
      </w:r>
    </w:p>
    <w:p>
      <w:pPr>
        <w:pStyle w:val="3"/>
        <w:keepLines w:val="0"/>
        <w:pageBreakBefore w:val="0"/>
        <w:widowControl w:val="0"/>
        <w:kinsoku/>
        <w:wordWrap/>
        <w:overflowPunct/>
        <w:topLinePunct w:val="0"/>
        <w:autoSpaceDE/>
        <w:autoSpaceDN/>
        <w:bidi w:val="0"/>
        <w:adjustRightInd/>
        <w:snapToGrid/>
        <w:ind w:firstLine="632"/>
        <w:jc w:val="both"/>
        <w:textAlignment w:val="auto"/>
        <w:rPr>
          <w:rFonts w:ascii="黑体" w:hAnsi="黑体" w:cs="黑体"/>
          <w:b w:val="0"/>
          <w:bCs w:val="0"/>
          <w:highlight w:val="none"/>
        </w:rPr>
      </w:pPr>
      <w:bookmarkStart w:id="66" w:name="_Toc15629"/>
      <w:bookmarkStart w:id="67" w:name="_Toc31689"/>
      <w:r>
        <w:rPr>
          <w:rFonts w:hint="eastAsia" w:ascii="黑体" w:hAnsi="黑体" w:cs="黑体"/>
          <w:b w:val="0"/>
          <w:bCs w:val="0"/>
          <w:highlight w:val="none"/>
        </w:rPr>
        <w:t>四、应急响应</w:t>
      </w:r>
      <w:bookmarkEnd w:id="66"/>
      <w:bookmarkEnd w:id="67"/>
    </w:p>
    <w:p>
      <w:pPr>
        <w:pStyle w:val="4"/>
        <w:keepLines w:val="0"/>
        <w:pageBreakBefore w:val="0"/>
        <w:widowControl w:val="0"/>
        <w:kinsoku/>
        <w:wordWrap/>
        <w:overflowPunct/>
        <w:topLinePunct w:val="0"/>
        <w:autoSpaceDE/>
        <w:autoSpaceDN/>
        <w:bidi w:val="0"/>
        <w:adjustRightInd/>
        <w:snapToGrid/>
        <w:ind w:firstLine="632"/>
        <w:textAlignment w:val="auto"/>
        <w:rPr>
          <w:rFonts w:ascii="楷体" w:hAnsi="楷体" w:cs="楷体"/>
          <w:b w:val="0"/>
          <w:highlight w:val="none"/>
        </w:rPr>
      </w:pPr>
      <w:bookmarkStart w:id="68" w:name="_Toc32415"/>
      <w:bookmarkStart w:id="69" w:name="_Toc21594"/>
      <w:r>
        <w:rPr>
          <w:rFonts w:hint="eastAsia" w:ascii="楷体" w:hAnsi="楷体" w:cs="楷体"/>
          <w:b w:val="0"/>
          <w:highlight w:val="none"/>
        </w:rPr>
        <w:t>（一）</w:t>
      </w:r>
      <w:r>
        <w:rPr>
          <w:rFonts w:hint="eastAsia" w:ascii="楷体" w:hAnsi="楷体" w:cs="楷体"/>
          <w:b w:val="0"/>
          <w:highlight w:val="none"/>
          <w:lang w:eastAsia="zh-CN"/>
        </w:rPr>
        <w:t>响应</w:t>
      </w:r>
      <w:r>
        <w:rPr>
          <w:rFonts w:hint="eastAsia" w:ascii="楷体" w:hAnsi="楷体" w:cs="楷体"/>
          <w:b w:val="0"/>
          <w:highlight w:val="none"/>
        </w:rPr>
        <w:t>分级</w:t>
      </w:r>
      <w:bookmarkEnd w:id="68"/>
      <w:bookmarkEnd w:id="69"/>
    </w:p>
    <w:p>
      <w:pPr>
        <w:keepLines w:val="0"/>
        <w:pageBreakBefore w:val="0"/>
        <w:widowControl w:val="0"/>
        <w:kinsoku/>
        <w:wordWrap/>
        <w:overflowPunct/>
        <w:topLinePunct w:val="0"/>
        <w:autoSpaceDE/>
        <w:autoSpaceDN/>
        <w:bidi w:val="0"/>
        <w:adjustRightInd/>
        <w:snapToGrid/>
        <w:ind w:firstLine="632"/>
        <w:textAlignment w:val="auto"/>
        <w:rPr>
          <w:rFonts w:hint="eastAsia"/>
          <w:highlight w:val="none"/>
        </w:rPr>
      </w:pPr>
      <w:r>
        <w:rPr>
          <w:rFonts w:hint="eastAsia"/>
          <w:highlight w:val="none"/>
        </w:rPr>
        <w:t>根据大面积停电事件的严重程度和发展态势，将应急响应设定为</w:t>
      </w:r>
      <w:r>
        <w:rPr>
          <w:rFonts w:hint="eastAsia"/>
          <w:highlight w:val="none"/>
          <w:lang w:eastAsia="zh-CN"/>
        </w:rPr>
        <w:t>一</w:t>
      </w:r>
      <w:r>
        <w:rPr>
          <w:rFonts w:hint="eastAsia" w:ascii="Times New Roman" w:hAnsi="Times New Roman" w:cs="Times New Roman"/>
          <w:highlight w:val="none"/>
        </w:rPr>
        <w:t>级、</w:t>
      </w:r>
      <w:r>
        <w:rPr>
          <w:rFonts w:hint="eastAsia" w:ascii="Times New Roman" w:hAnsi="Times New Roman" w:cs="Times New Roman"/>
          <w:highlight w:val="none"/>
          <w:lang w:eastAsia="zh-CN"/>
        </w:rPr>
        <w:t>二</w:t>
      </w:r>
      <w:r>
        <w:rPr>
          <w:rFonts w:hint="eastAsia" w:ascii="Times New Roman" w:hAnsi="Times New Roman" w:cs="Times New Roman"/>
          <w:highlight w:val="none"/>
        </w:rPr>
        <w:t>级、</w:t>
      </w:r>
      <w:r>
        <w:rPr>
          <w:rFonts w:hint="eastAsia" w:ascii="Times New Roman" w:hAnsi="Times New Roman" w:cs="Times New Roman"/>
          <w:highlight w:val="none"/>
          <w:lang w:eastAsia="zh-CN"/>
        </w:rPr>
        <w:t>三</w:t>
      </w:r>
      <w:r>
        <w:rPr>
          <w:rFonts w:hint="eastAsia" w:ascii="Times New Roman" w:hAnsi="Times New Roman" w:cs="Times New Roman"/>
          <w:highlight w:val="none"/>
        </w:rPr>
        <w:t>级</w:t>
      </w:r>
      <w:r>
        <w:rPr>
          <w:rFonts w:hint="eastAsia" w:ascii="Times New Roman" w:hAnsi="Times New Roman" w:cs="Times New Roman"/>
          <w:highlight w:val="none"/>
          <w:lang w:eastAsia="zh-CN"/>
        </w:rPr>
        <w:t>和四</w:t>
      </w:r>
      <w:r>
        <w:rPr>
          <w:rFonts w:hint="eastAsia"/>
          <w:highlight w:val="none"/>
        </w:rPr>
        <w:t>级四个等级。</w:t>
      </w:r>
    </w:p>
    <w:p>
      <w:pPr>
        <w:keepLines w:val="0"/>
        <w:pageBreakBefore w:val="0"/>
        <w:widowControl w:val="0"/>
        <w:kinsoku/>
        <w:wordWrap/>
        <w:overflowPunct/>
        <w:topLinePunct w:val="0"/>
        <w:autoSpaceDE/>
        <w:autoSpaceDN/>
        <w:bidi w:val="0"/>
        <w:adjustRightInd/>
        <w:snapToGrid/>
        <w:ind w:firstLine="632"/>
        <w:textAlignment w:val="auto"/>
        <w:rPr>
          <w:highlight w:val="none"/>
        </w:rPr>
      </w:pPr>
      <w:r>
        <w:rPr>
          <w:rFonts w:hint="eastAsia"/>
          <w:highlight w:val="none"/>
          <w:lang w:eastAsia="zh-CN"/>
        </w:rPr>
        <w:t>初判发生重大以上级别大面积停电事件，市人民政府启动一级响应，</w:t>
      </w:r>
      <w:r>
        <w:rPr>
          <w:rFonts w:hint="eastAsia"/>
          <w:highlight w:val="none"/>
        </w:rPr>
        <w:t>由市电力应急指挥部负责</w:t>
      </w:r>
      <w:r>
        <w:rPr>
          <w:rFonts w:hint="eastAsia"/>
          <w:highlight w:val="none"/>
          <w:lang w:val="en-US" w:eastAsia="zh-CN"/>
        </w:rPr>
        <w:t>先期</w:t>
      </w:r>
      <w:r>
        <w:rPr>
          <w:rFonts w:hint="eastAsia"/>
          <w:highlight w:val="none"/>
        </w:rPr>
        <w:t>指挥应对工作，当省人民政府成立大面积停电事件应急指挥部时，接受其领导、组织和指挥。事发地县（市）区级人民政府</w:t>
      </w:r>
      <w:r>
        <w:rPr>
          <w:rFonts w:hint="eastAsia"/>
          <w:highlight w:val="none"/>
          <w:lang w:eastAsia="zh-CN"/>
        </w:rPr>
        <w:t>根据上级指令</w:t>
      </w:r>
      <w:r>
        <w:rPr>
          <w:rFonts w:hint="eastAsia"/>
          <w:highlight w:val="none"/>
        </w:rPr>
        <w:t>启动本级应急响应。</w:t>
      </w:r>
    </w:p>
    <w:p>
      <w:pPr>
        <w:keepLines w:val="0"/>
        <w:pageBreakBefore w:val="0"/>
        <w:widowControl w:val="0"/>
        <w:kinsoku/>
        <w:wordWrap/>
        <w:overflowPunct/>
        <w:topLinePunct w:val="0"/>
        <w:autoSpaceDE/>
        <w:autoSpaceDN/>
        <w:bidi w:val="0"/>
        <w:adjustRightInd/>
        <w:snapToGrid/>
        <w:ind w:firstLine="632"/>
        <w:textAlignment w:val="auto"/>
        <w:rPr>
          <w:highlight w:val="none"/>
        </w:rPr>
      </w:pPr>
      <w:r>
        <w:rPr>
          <w:rFonts w:hint="eastAsia"/>
          <w:highlight w:val="none"/>
        </w:rPr>
        <w:t>初判发生较大大面积停电事件，市人民政府启动</w:t>
      </w:r>
      <w:r>
        <w:rPr>
          <w:rFonts w:hint="eastAsia" w:ascii="Times New Roman" w:hAnsi="Times New Roman" w:cs="Times New Roman"/>
          <w:highlight w:val="none"/>
          <w:lang w:eastAsia="zh-CN"/>
        </w:rPr>
        <w:t>二</w:t>
      </w:r>
      <w:r>
        <w:rPr>
          <w:rFonts w:hint="eastAsia"/>
          <w:highlight w:val="none"/>
        </w:rPr>
        <w:t>级应急响应，由市电力应急指挥部负责</w:t>
      </w:r>
      <w:r>
        <w:rPr>
          <w:rFonts w:hint="eastAsia"/>
          <w:highlight w:val="none"/>
          <w:lang w:eastAsia="zh-CN"/>
        </w:rPr>
        <w:t>先期</w:t>
      </w:r>
      <w:r>
        <w:rPr>
          <w:rFonts w:hint="eastAsia"/>
          <w:highlight w:val="none"/>
        </w:rPr>
        <w:t>指挥应对工作。</w:t>
      </w:r>
      <w:r>
        <w:rPr>
          <w:rFonts w:hint="eastAsia"/>
          <w:highlight w:val="none"/>
          <w:lang w:val="en-US" w:eastAsia="zh-CN"/>
        </w:rPr>
        <w:t>并向省人民政府报告事件情况，随时准备请求支援</w:t>
      </w:r>
      <w:r>
        <w:rPr>
          <w:rFonts w:hint="eastAsia"/>
          <w:highlight w:val="none"/>
        </w:rPr>
        <w:t>。事发地县（市）区级人民政府</w:t>
      </w:r>
      <w:r>
        <w:rPr>
          <w:rFonts w:hint="eastAsia"/>
          <w:highlight w:val="none"/>
          <w:lang w:eastAsia="zh-CN"/>
        </w:rPr>
        <w:t>启动</w:t>
      </w:r>
      <w:r>
        <w:rPr>
          <w:rFonts w:hint="eastAsia"/>
          <w:highlight w:val="none"/>
          <w:lang w:val="en-US" w:eastAsia="zh-CN"/>
        </w:rPr>
        <w:t>相应级别的</w:t>
      </w:r>
      <w:r>
        <w:rPr>
          <w:rFonts w:hint="eastAsia"/>
          <w:highlight w:val="none"/>
          <w:lang w:eastAsia="zh-CN"/>
        </w:rPr>
        <w:t>应急响应</w:t>
      </w:r>
      <w:r>
        <w:rPr>
          <w:rFonts w:hint="eastAsia"/>
          <w:highlight w:val="none"/>
        </w:rPr>
        <w:t>。</w:t>
      </w:r>
    </w:p>
    <w:p>
      <w:pPr>
        <w:keepLines w:val="0"/>
        <w:pageBreakBefore w:val="0"/>
        <w:widowControl w:val="0"/>
        <w:kinsoku/>
        <w:wordWrap/>
        <w:overflowPunct/>
        <w:topLinePunct w:val="0"/>
        <w:autoSpaceDE/>
        <w:autoSpaceDN/>
        <w:bidi w:val="0"/>
        <w:adjustRightInd/>
        <w:snapToGrid/>
        <w:ind w:firstLine="632"/>
        <w:textAlignment w:val="auto"/>
        <w:rPr>
          <w:rFonts w:hint="eastAsia"/>
          <w:highlight w:val="none"/>
          <w:lang w:eastAsia="zh-CN"/>
        </w:rPr>
      </w:pPr>
      <w:r>
        <w:rPr>
          <w:rFonts w:hint="eastAsia"/>
          <w:highlight w:val="none"/>
        </w:rPr>
        <w:t>初判一般大面积停电事件，</w:t>
      </w:r>
      <w:r>
        <w:rPr>
          <w:rFonts w:hint="eastAsia"/>
          <w:highlight w:val="none"/>
          <w:lang w:eastAsia="zh-CN"/>
        </w:rPr>
        <w:t>超出县级应对能力，或市级认为必要时，市人民政府启动三级响应。市人民政府</w:t>
      </w:r>
      <w:r>
        <w:rPr>
          <w:rFonts w:hint="eastAsia"/>
          <w:highlight w:val="none"/>
          <w:lang w:val="en-US" w:eastAsia="zh-CN"/>
        </w:rPr>
        <w:t>负责实时跟踪事件进展，并做好应急支援准备工作</w:t>
      </w:r>
      <w:r>
        <w:rPr>
          <w:rFonts w:hint="eastAsia"/>
          <w:highlight w:val="none"/>
        </w:rPr>
        <w:t>。事发地县（市）区级人民政府</w:t>
      </w:r>
      <w:r>
        <w:rPr>
          <w:rFonts w:hint="eastAsia"/>
          <w:highlight w:val="none"/>
          <w:lang w:val="en-US" w:eastAsia="zh-CN"/>
        </w:rPr>
        <w:t>应</w:t>
      </w:r>
      <w:r>
        <w:rPr>
          <w:rFonts w:hint="eastAsia"/>
          <w:highlight w:val="none"/>
        </w:rPr>
        <w:t>启动</w:t>
      </w:r>
      <w:r>
        <w:rPr>
          <w:rFonts w:hint="eastAsia"/>
          <w:highlight w:val="none"/>
          <w:lang w:val="en-US" w:eastAsia="zh-CN"/>
        </w:rPr>
        <w:t>相应级别的</w:t>
      </w:r>
      <w:r>
        <w:rPr>
          <w:rFonts w:hint="eastAsia"/>
          <w:highlight w:val="none"/>
        </w:rPr>
        <w:t>应急响应，根据事件影响范围，由事发地县（市）区级人民政府电力应急指挥机构负责指挥应对工作</w:t>
      </w:r>
      <w:r>
        <w:rPr>
          <w:rFonts w:hint="eastAsia"/>
          <w:highlight w:val="none"/>
          <w:lang w:eastAsia="zh-CN"/>
        </w:rPr>
        <w:t>。</w:t>
      </w:r>
    </w:p>
    <w:p>
      <w:pPr>
        <w:keepLines w:val="0"/>
        <w:pageBreakBefore w:val="0"/>
        <w:widowControl w:val="0"/>
        <w:kinsoku/>
        <w:wordWrap/>
        <w:overflowPunct/>
        <w:topLinePunct w:val="0"/>
        <w:autoSpaceDE/>
        <w:autoSpaceDN/>
        <w:bidi w:val="0"/>
        <w:adjustRightInd/>
        <w:snapToGrid/>
        <w:ind w:firstLine="632"/>
        <w:textAlignment w:val="auto"/>
        <w:rPr>
          <w:highlight w:val="none"/>
        </w:rPr>
      </w:pPr>
      <w:r>
        <w:rPr>
          <w:rFonts w:hint="eastAsia"/>
          <w:highlight w:val="none"/>
        </w:rPr>
        <w:t>对于尚未达到一般大面积停电事件标准，但对社会发生较大影响的其它停电事件，</w:t>
      </w:r>
      <w:r>
        <w:rPr>
          <w:rFonts w:hint="eastAsia"/>
          <w:highlight w:val="none"/>
          <w:lang w:eastAsia="zh-CN"/>
        </w:rPr>
        <w:t>市级</w:t>
      </w:r>
      <w:r>
        <w:rPr>
          <w:rFonts w:hint="eastAsia"/>
          <w:highlight w:val="none"/>
        </w:rPr>
        <w:t>人民政府可结合实际情况启动应急</w:t>
      </w:r>
      <w:r>
        <w:rPr>
          <w:rFonts w:hint="eastAsia"/>
          <w:highlight w:val="none"/>
          <w:lang w:eastAsia="zh-CN"/>
        </w:rPr>
        <w:t>四级</w:t>
      </w:r>
      <w:r>
        <w:rPr>
          <w:rFonts w:hint="eastAsia"/>
          <w:highlight w:val="none"/>
        </w:rPr>
        <w:t>响应。</w:t>
      </w:r>
    </w:p>
    <w:p>
      <w:pPr>
        <w:keepLines w:val="0"/>
        <w:pageBreakBefore w:val="0"/>
        <w:widowControl w:val="0"/>
        <w:kinsoku/>
        <w:wordWrap/>
        <w:overflowPunct/>
        <w:topLinePunct w:val="0"/>
        <w:autoSpaceDE/>
        <w:autoSpaceDN/>
        <w:bidi w:val="0"/>
        <w:adjustRightInd/>
        <w:snapToGrid/>
        <w:ind w:firstLine="632"/>
        <w:textAlignment w:val="auto"/>
        <w:rPr>
          <w:highlight w:val="none"/>
        </w:rPr>
      </w:pPr>
      <w:r>
        <w:rPr>
          <w:rFonts w:hint="eastAsia"/>
          <w:highlight w:val="none"/>
        </w:rPr>
        <w:t>应急响应启动后，可视事件造成损失情况及其发展趋势调整响应级别，避免响应不足或响应过度。</w:t>
      </w:r>
    </w:p>
    <w:p>
      <w:pPr>
        <w:pStyle w:val="4"/>
        <w:keepLines w:val="0"/>
        <w:pageBreakBefore w:val="0"/>
        <w:widowControl w:val="0"/>
        <w:kinsoku/>
        <w:wordWrap/>
        <w:overflowPunct/>
        <w:topLinePunct w:val="0"/>
        <w:autoSpaceDE/>
        <w:autoSpaceDN/>
        <w:bidi w:val="0"/>
        <w:adjustRightInd/>
        <w:snapToGrid/>
        <w:ind w:firstLine="632"/>
        <w:textAlignment w:val="auto"/>
        <w:rPr>
          <w:rFonts w:ascii="楷体" w:hAnsi="楷体" w:cs="楷体"/>
          <w:b w:val="0"/>
          <w:highlight w:val="none"/>
        </w:rPr>
      </w:pPr>
      <w:bookmarkStart w:id="70" w:name="_Toc2158"/>
      <w:bookmarkStart w:id="71" w:name="_Toc22504"/>
      <w:r>
        <w:rPr>
          <w:rFonts w:hint="eastAsia" w:ascii="楷体" w:hAnsi="楷体" w:cs="楷体"/>
          <w:b w:val="0"/>
          <w:highlight w:val="none"/>
        </w:rPr>
        <w:t>（二）指挥协调</w:t>
      </w:r>
      <w:bookmarkEnd w:id="70"/>
      <w:bookmarkEnd w:id="71"/>
    </w:p>
    <w:p>
      <w:pPr>
        <w:pStyle w:val="5"/>
        <w:keepLines w:val="0"/>
        <w:pageBreakBefore w:val="0"/>
        <w:widowControl w:val="0"/>
        <w:kinsoku/>
        <w:wordWrap/>
        <w:overflowPunct/>
        <w:topLinePunct w:val="0"/>
        <w:autoSpaceDE/>
        <w:autoSpaceDN/>
        <w:bidi w:val="0"/>
        <w:adjustRightInd/>
        <w:snapToGrid/>
        <w:ind w:firstLine="632"/>
        <w:textAlignment w:val="auto"/>
        <w:rPr>
          <w:b w:val="0"/>
          <w:highlight w:val="none"/>
        </w:rPr>
      </w:pPr>
      <w:bookmarkStart w:id="72" w:name="_Toc29054"/>
      <w:bookmarkStart w:id="73" w:name="_Toc14665"/>
      <w:r>
        <w:rPr>
          <w:rFonts w:ascii="Times New Roman" w:hAnsi="Times New Roman" w:cs="Times New Roman"/>
          <w:b w:val="0"/>
          <w:highlight w:val="none"/>
        </w:rPr>
        <w:t>1.</w:t>
      </w:r>
      <w:r>
        <w:rPr>
          <w:rFonts w:hint="eastAsia" w:ascii="Times New Roman" w:hAnsi="Times New Roman" w:cs="Times New Roman"/>
          <w:b/>
          <w:bCs/>
          <w:highlight w:val="none"/>
          <w:lang w:eastAsia="zh-CN"/>
        </w:rPr>
        <w:t>一</w:t>
      </w:r>
      <w:r>
        <w:rPr>
          <w:rFonts w:hint="eastAsia"/>
          <w:bCs/>
          <w:highlight w:val="none"/>
        </w:rPr>
        <w:t>级应急响应</w:t>
      </w:r>
      <w:bookmarkEnd w:id="72"/>
      <w:bookmarkEnd w:id="73"/>
      <w:r>
        <w:rPr>
          <w:rFonts w:hint="eastAsia"/>
          <w:bCs/>
          <w:highlight w:val="none"/>
        </w:rPr>
        <w:t>。</w:t>
      </w:r>
      <w:r>
        <w:rPr>
          <w:rFonts w:hint="eastAsia"/>
          <w:b w:val="0"/>
          <w:highlight w:val="none"/>
        </w:rPr>
        <w:t>初判发生特别重大</w:t>
      </w:r>
      <w:r>
        <w:rPr>
          <w:rFonts w:hint="eastAsia"/>
          <w:b w:val="0"/>
          <w:highlight w:val="none"/>
          <w:lang w:eastAsia="zh-CN"/>
        </w:rPr>
        <w:t>和重大</w:t>
      </w:r>
      <w:r>
        <w:rPr>
          <w:rFonts w:hint="eastAsia"/>
          <w:b w:val="0"/>
          <w:highlight w:val="none"/>
        </w:rPr>
        <w:t>大面积停电事件时，由市电力应急指挥部负责</w:t>
      </w:r>
      <w:r>
        <w:rPr>
          <w:rFonts w:hint="eastAsia"/>
          <w:b w:val="0"/>
          <w:highlight w:val="none"/>
          <w:lang w:eastAsia="zh-CN"/>
        </w:rPr>
        <w:t>一级</w:t>
      </w:r>
      <w:r>
        <w:rPr>
          <w:rFonts w:hint="eastAsia"/>
          <w:b w:val="0"/>
          <w:highlight w:val="none"/>
        </w:rPr>
        <w:t>响应</w:t>
      </w:r>
      <w:r>
        <w:rPr>
          <w:rFonts w:hint="eastAsia"/>
          <w:b w:val="0"/>
          <w:highlight w:val="none"/>
          <w:lang w:eastAsia="zh-CN"/>
        </w:rPr>
        <w:t>的启动、调整和解除</w:t>
      </w:r>
      <w:r>
        <w:rPr>
          <w:rFonts w:hint="eastAsia"/>
          <w:b w:val="0"/>
          <w:highlight w:val="none"/>
        </w:rPr>
        <w:t>。</w:t>
      </w:r>
      <w:r>
        <w:rPr>
          <w:rFonts w:hint="eastAsia"/>
          <w:b w:val="0"/>
          <w:highlight w:val="none"/>
          <w:lang w:val="en-US" w:eastAsia="zh-CN"/>
        </w:rPr>
        <w:t>一</w:t>
      </w:r>
      <w:r>
        <w:rPr>
          <w:rFonts w:hint="eastAsia"/>
          <w:b w:val="0"/>
          <w:highlight w:val="none"/>
        </w:rPr>
        <w:t>级应急响应由市政府负责</w:t>
      </w:r>
      <w:r>
        <w:rPr>
          <w:rFonts w:hint="eastAsia"/>
          <w:b w:val="0"/>
          <w:highlight w:val="none"/>
          <w:lang w:val="en-US" w:eastAsia="zh-CN"/>
        </w:rPr>
        <w:t>先期</w:t>
      </w:r>
      <w:r>
        <w:rPr>
          <w:rFonts w:hint="eastAsia"/>
          <w:b w:val="0"/>
          <w:highlight w:val="none"/>
        </w:rPr>
        <w:t>指挥应对处置工作</w:t>
      </w:r>
      <w:r>
        <w:rPr>
          <w:rFonts w:hint="eastAsia"/>
          <w:b w:val="0"/>
          <w:highlight w:val="none"/>
          <w:lang w:eastAsia="zh-CN"/>
        </w:rPr>
        <w:t>，主要开展以下工作：统一领导大面积停电事故抢险、电力恢复、社会救援和维稳等各项应急工作；召开市电力应急指挥部成员单位联席会议，就有关重大应急问题做出决策和部署；派出工作组赴现场指导应急处置工作，协调开展应对工作；及时组织有关部门和单位、专家组进行会商，研究分析事件发展情况；组织开展跨县队伍、物资、装备支援；统一组织信息发布和舆论引导工作；组织开展事件处置评估；协调解决应急处置中发生的其它问题。</w:t>
      </w:r>
      <w:r>
        <w:rPr>
          <w:rFonts w:hint="eastAsia"/>
          <w:b w:val="0"/>
          <w:highlight w:val="none"/>
        </w:rPr>
        <w:t>在</w:t>
      </w:r>
      <w:r>
        <w:rPr>
          <w:rFonts w:hint="eastAsia"/>
          <w:b w:val="0"/>
          <w:highlight w:val="none"/>
          <w:lang w:val="en-US" w:eastAsia="zh-CN"/>
        </w:rPr>
        <w:t>省人民政府成立指挥部后，对接省级工作组，</w:t>
      </w:r>
      <w:r>
        <w:rPr>
          <w:rFonts w:hint="eastAsia"/>
          <w:b w:val="0"/>
          <w:highlight w:val="none"/>
        </w:rPr>
        <w:t>接受其领导、组织和指挥。</w:t>
      </w:r>
      <w:r>
        <w:rPr>
          <w:rFonts w:hint="eastAsia"/>
          <w:b w:val="0"/>
          <w:highlight w:val="none"/>
          <w:lang w:val="en-US" w:eastAsia="zh-CN"/>
        </w:rPr>
        <w:t>一</w:t>
      </w:r>
      <w:r>
        <w:rPr>
          <w:rFonts w:hint="eastAsia"/>
          <w:b w:val="0"/>
          <w:highlight w:val="none"/>
        </w:rPr>
        <w:t>级响应的启动、调整和解除由</w:t>
      </w:r>
      <w:r>
        <w:rPr>
          <w:rFonts w:hint="eastAsia"/>
          <w:b w:val="0"/>
          <w:highlight w:val="none"/>
          <w:lang w:val="en-US" w:eastAsia="zh-CN"/>
        </w:rPr>
        <w:t>市人民政府</w:t>
      </w:r>
      <w:r>
        <w:rPr>
          <w:rFonts w:hint="eastAsia"/>
          <w:b w:val="0"/>
          <w:highlight w:val="none"/>
        </w:rPr>
        <w:t>负责发布执行。</w:t>
      </w:r>
    </w:p>
    <w:p>
      <w:pPr>
        <w:pStyle w:val="5"/>
        <w:keepLines w:val="0"/>
        <w:pageBreakBefore w:val="0"/>
        <w:widowControl w:val="0"/>
        <w:kinsoku/>
        <w:wordWrap/>
        <w:overflowPunct/>
        <w:topLinePunct w:val="0"/>
        <w:autoSpaceDE/>
        <w:autoSpaceDN/>
        <w:bidi w:val="0"/>
        <w:adjustRightInd/>
        <w:snapToGrid/>
        <w:ind w:firstLine="632"/>
        <w:textAlignment w:val="auto"/>
        <w:rPr>
          <w:rFonts w:hint="default" w:ascii="Times New Roman" w:hAnsi="Times New Roman" w:eastAsia="仿宋" w:cs="Times New Roman"/>
          <w:b/>
          <w:bCs/>
          <w:highlight w:val="none"/>
          <w:lang w:val="en-US" w:eastAsia="zh-CN"/>
        </w:rPr>
      </w:pPr>
      <w:r>
        <w:rPr>
          <w:rFonts w:hint="default" w:ascii="Times New Roman" w:hAnsi="Times New Roman" w:cs="Times New Roman"/>
          <w:b w:val="0"/>
          <w:bCs w:val="0"/>
          <w:highlight w:val="none"/>
          <w:lang w:val="en-US" w:eastAsia="zh-CN"/>
        </w:rPr>
        <w:t>2.</w:t>
      </w:r>
      <w:r>
        <w:rPr>
          <w:rFonts w:hint="eastAsia" w:ascii="Times New Roman" w:hAnsi="Times New Roman" w:cs="Times New Roman"/>
          <w:b/>
          <w:bCs/>
          <w:highlight w:val="none"/>
          <w:lang w:val="en-US" w:eastAsia="zh-CN"/>
        </w:rPr>
        <w:t>二级应急响应。</w:t>
      </w:r>
      <w:r>
        <w:rPr>
          <w:rFonts w:hint="eastAsia"/>
          <w:b w:val="0"/>
          <w:highlight w:val="none"/>
        </w:rPr>
        <w:t>发生较大级别大面积停电事件时，由市电力应急指挥部负责</w:t>
      </w:r>
      <w:r>
        <w:rPr>
          <w:rFonts w:hint="eastAsia"/>
          <w:b w:val="0"/>
          <w:highlight w:val="none"/>
          <w:lang w:eastAsia="zh-CN"/>
        </w:rPr>
        <w:t>二</w:t>
      </w:r>
      <w:r>
        <w:rPr>
          <w:rFonts w:hint="eastAsia"/>
          <w:b w:val="0"/>
          <w:highlight w:val="none"/>
        </w:rPr>
        <w:t>级响应的启动、调整和解除，主要开展以下工作：统一领导大面积停电事故抢险、电力恢复、社会救援和维稳等各项应急工作；召开市电力应急指挥部成员单位联席会议，就有关重大应急问题做出决策和部署；派出工作组赴现场指导应急处置工作，对接省级工作组，视情成立现场指挥部，协调开展应对工作；及时组织有关部门和单位、专家组进行会商，研究分析事件发展情况；组织开展跨县队伍、物资、装备支援；统一组织信息发布和舆论引导工作；组织开展事件处置评估；协调解决应急处置中发生的其它问题</w:t>
      </w:r>
      <w:r>
        <w:rPr>
          <w:rFonts w:hint="eastAsia"/>
          <w:b w:val="0"/>
          <w:highlight w:val="none"/>
          <w:lang w:eastAsia="zh-CN"/>
        </w:rPr>
        <w:t>，</w:t>
      </w:r>
      <w:r>
        <w:rPr>
          <w:rFonts w:hint="eastAsia"/>
          <w:b w:val="0"/>
          <w:highlight w:val="none"/>
          <w:lang w:val="en-US" w:eastAsia="zh-CN"/>
        </w:rPr>
        <w:t>及时向省人民政府报告事件情况，必要时，请求省人民政府进行应急支援</w:t>
      </w:r>
      <w:r>
        <w:rPr>
          <w:rFonts w:hint="eastAsia"/>
          <w:b w:val="0"/>
          <w:highlight w:val="none"/>
        </w:rPr>
        <w:t>。</w:t>
      </w:r>
    </w:p>
    <w:p>
      <w:pPr>
        <w:pStyle w:val="5"/>
        <w:keepLines w:val="0"/>
        <w:pageBreakBefore w:val="0"/>
        <w:widowControl w:val="0"/>
        <w:kinsoku/>
        <w:wordWrap/>
        <w:overflowPunct/>
        <w:topLinePunct w:val="0"/>
        <w:autoSpaceDE/>
        <w:autoSpaceDN/>
        <w:bidi w:val="0"/>
        <w:adjustRightInd/>
        <w:snapToGrid/>
        <w:ind w:firstLine="632"/>
        <w:textAlignment w:val="auto"/>
        <w:rPr>
          <w:rFonts w:hint="eastAsia"/>
          <w:b w:val="0"/>
          <w:color w:val="auto"/>
          <w:highlight w:val="none"/>
        </w:rPr>
      </w:pPr>
      <w:bookmarkStart w:id="74" w:name="_Toc14265"/>
      <w:bookmarkStart w:id="75" w:name="_Toc10883"/>
      <w:r>
        <w:rPr>
          <w:rFonts w:hint="default" w:ascii="Times New Roman" w:hAnsi="Times New Roman" w:cs="Times New Roman"/>
          <w:b w:val="0"/>
          <w:bCs w:val="0"/>
          <w:color w:val="auto"/>
          <w:highlight w:val="none"/>
          <w:lang w:val="en-US" w:eastAsia="zh-CN"/>
        </w:rPr>
        <w:t>3</w:t>
      </w:r>
      <w:r>
        <w:rPr>
          <w:rFonts w:hint="default" w:ascii="Times New Roman" w:hAnsi="Times New Roman" w:cs="Times New Roman"/>
          <w:b w:val="0"/>
          <w:bCs w:val="0"/>
          <w:color w:val="auto"/>
          <w:highlight w:val="none"/>
        </w:rPr>
        <w:t>.</w:t>
      </w:r>
      <w:r>
        <w:rPr>
          <w:rFonts w:hint="default" w:ascii="Times New Roman" w:hAnsi="Times New Roman" w:cs="Times New Roman"/>
          <w:b/>
          <w:bCs/>
          <w:color w:val="auto"/>
          <w:highlight w:val="none"/>
          <w:lang w:eastAsia="zh-CN"/>
        </w:rPr>
        <w:t>三</w:t>
      </w:r>
      <w:r>
        <w:rPr>
          <w:rFonts w:hint="default" w:ascii="Times New Roman" w:hAnsi="Times New Roman" w:cs="Times New Roman"/>
          <w:b/>
          <w:bCs/>
          <w:color w:val="auto"/>
          <w:highlight w:val="none"/>
        </w:rPr>
        <w:t>级应急响应</w:t>
      </w:r>
      <w:bookmarkEnd w:id="74"/>
      <w:bookmarkEnd w:id="75"/>
      <w:r>
        <w:rPr>
          <w:rFonts w:hint="default" w:ascii="Times New Roman" w:hAnsi="Times New Roman" w:cs="Times New Roman"/>
          <w:b/>
          <w:bCs/>
          <w:color w:val="auto"/>
          <w:highlight w:val="none"/>
        </w:rPr>
        <w:t>。</w:t>
      </w:r>
      <w:r>
        <w:rPr>
          <w:rFonts w:hint="eastAsia"/>
          <w:b w:val="0"/>
          <w:color w:val="auto"/>
          <w:highlight w:val="none"/>
        </w:rPr>
        <w:t>发生一般大面积停电事件，</w:t>
      </w:r>
      <w:r>
        <w:rPr>
          <w:rFonts w:hint="eastAsia"/>
          <w:b w:val="0"/>
          <w:bCs/>
          <w:color w:val="auto"/>
          <w:highlight w:val="none"/>
          <w:lang w:eastAsia="zh-CN"/>
        </w:rPr>
        <w:t>超出县级应对能力，或市级认为必要时，</w:t>
      </w:r>
      <w:r>
        <w:rPr>
          <w:rFonts w:hint="eastAsia"/>
          <w:b w:val="0"/>
          <w:color w:val="auto"/>
          <w:highlight w:val="none"/>
        </w:rPr>
        <w:t>由市电力应急指挥部</w:t>
      </w:r>
      <w:r>
        <w:rPr>
          <w:rFonts w:hint="eastAsia"/>
          <w:b w:val="0"/>
          <w:color w:val="auto"/>
          <w:highlight w:val="none"/>
          <w:lang w:eastAsia="zh-CN"/>
        </w:rPr>
        <w:t>负责三</w:t>
      </w:r>
      <w:r>
        <w:rPr>
          <w:rFonts w:hint="eastAsia"/>
          <w:b w:val="0"/>
          <w:color w:val="auto"/>
          <w:highlight w:val="none"/>
        </w:rPr>
        <w:t>级响应的启动、调整和解除，主要开展以下工作：统筹组织本区域大面积停电事故抢险、电力恢复、社会救援和维稳等各项应急工作；</w:t>
      </w:r>
      <w:r>
        <w:rPr>
          <w:rFonts w:hint="eastAsia"/>
          <w:b w:val="0"/>
          <w:color w:val="auto"/>
          <w:highlight w:val="none"/>
          <w:lang w:val="en-US" w:eastAsia="zh-CN"/>
        </w:rPr>
        <w:t>随时做好应急支援准备工作</w:t>
      </w:r>
      <w:r>
        <w:rPr>
          <w:rFonts w:hint="eastAsia"/>
          <w:b w:val="0"/>
          <w:color w:val="auto"/>
          <w:highlight w:val="none"/>
        </w:rPr>
        <w:t>；</w:t>
      </w:r>
      <w:r>
        <w:rPr>
          <w:rFonts w:hint="eastAsia"/>
          <w:b w:val="0"/>
          <w:color w:val="auto"/>
          <w:highlight w:val="none"/>
          <w:lang w:val="en-US" w:eastAsia="zh-CN"/>
        </w:rPr>
        <w:t>协助事发地</w:t>
      </w:r>
      <w:r>
        <w:rPr>
          <w:rFonts w:hint="eastAsia"/>
          <w:b w:val="0"/>
          <w:color w:val="auto"/>
          <w:highlight w:val="none"/>
        </w:rPr>
        <w:t>做好信息发布和舆论引导工作；视情成立现场指挥部，组织开展事件处置评估；协调解决应急处置中发生的其它问题。</w:t>
      </w:r>
    </w:p>
    <w:p>
      <w:pPr>
        <w:pStyle w:val="5"/>
        <w:keepLines w:val="0"/>
        <w:pageBreakBefore w:val="0"/>
        <w:widowControl w:val="0"/>
        <w:kinsoku/>
        <w:wordWrap/>
        <w:overflowPunct/>
        <w:topLinePunct w:val="0"/>
        <w:autoSpaceDE/>
        <w:autoSpaceDN/>
        <w:bidi w:val="0"/>
        <w:adjustRightInd/>
        <w:snapToGrid/>
        <w:ind w:firstLine="632"/>
        <w:textAlignment w:val="auto"/>
        <w:rPr>
          <w:rFonts w:hint="default" w:eastAsia="仿宋"/>
          <w:b/>
          <w:bCs/>
          <w:highlight w:val="none"/>
          <w:lang w:val="en-US" w:eastAsia="zh-CN"/>
        </w:rPr>
      </w:pPr>
      <w:r>
        <w:rPr>
          <w:rFonts w:hint="default" w:ascii="Times New Roman" w:hAnsi="Times New Roman" w:cs="Times New Roman"/>
          <w:b w:val="0"/>
          <w:bCs w:val="0"/>
          <w:highlight w:val="none"/>
          <w:lang w:val="en-US" w:eastAsia="zh-CN"/>
        </w:rPr>
        <w:t>4.</w:t>
      </w:r>
      <w:r>
        <w:rPr>
          <w:rFonts w:hint="eastAsia"/>
          <w:b/>
          <w:bCs/>
          <w:highlight w:val="none"/>
          <w:lang w:val="en-US" w:eastAsia="zh-CN"/>
        </w:rPr>
        <w:t>四级应急响应。</w:t>
      </w:r>
      <w:r>
        <w:rPr>
          <w:rFonts w:hint="eastAsia"/>
          <w:b w:val="0"/>
          <w:bCs/>
          <w:highlight w:val="none"/>
        </w:rPr>
        <w:t>对于尚未达到一般大面积停电事件标准，但对社会发生较大影响的其它停电事件，市电力应急指挥部可结合实际情况</w:t>
      </w:r>
      <w:r>
        <w:rPr>
          <w:rFonts w:hint="eastAsia"/>
          <w:b w:val="0"/>
          <w:bCs/>
          <w:highlight w:val="none"/>
          <w:lang w:eastAsia="zh-CN"/>
        </w:rPr>
        <w:t>负责四级</w:t>
      </w:r>
      <w:r>
        <w:rPr>
          <w:rFonts w:hint="eastAsia"/>
          <w:b w:val="0"/>
          <w:bCs/>
          <w:highlight w:val="none"/>
        </w:rPr>
        <w:t>响应的启动、</w:t>
      </w:r>
      <w:r>
        <w:rPr>
          <w:rFonts w:hint="eastAsia"/>
          <w:b w:val="0"/>
          <w:highlight w:val="none"/>
        </w:rPr>
        <w:t>调整和解除，主要开展以下工作：统筹组织本区域大面积停电事故抢险、电力恢复、社会救援和维稳等各项应急工作；</w:t>
      </w:r>
      <w:r>
        <w:rPr>
          <w:rFonts w:hint="eastAsia"/>
          <w:b w:val="0"/>
          <w:highlight w:val="none"/>
          <w:lang w:val="en-US" w:eastAsia="zh-CN"/>
        </w:rPr>
        <w:t>随时做好应急支援准备工作</w:t>
      </w:r>
      <w:r>
        <w:rPr>
          <w:rFonts w:hint="eastAsia"/>
          <w:b w:val="0"/>
          <w:highlight w:val="none"/>
        </w:rPr>
        <w:t>；</w:t>
      </w:r>
      <w:r>
        <w:rPr>
          <w:rFonts w:hint="eastAsia"/>
          <w:b w:val="0"/>
          <w:highlight w:val="none"/>
          <w:lang w:val="en-US" w:eastAsia="zh-CN"/>
        </w:rPr>
        <w:t>协助事发地</w:t>
      </w:r>
      <w:r>
        <w:rPr>
          <w:rFonts w:hint="eastAsia"/>
          <w:b w:val="0"/>
          <w:highlight w:val="none"/>
        </w:rPr>
        <w:t>做好信息发布和舆论引导工作；视情成立现场指挥部，组织开展事件处置评估；协调解决应急处置中发生的其它问题。</w:t>
      </w:r>
    </w:p>
    <w:p>
      <w:pPr>
        <w:pStyle w:val="4"/>
        <w:keepLines w:val="0"/>
        <w:pageBreakBefore w:val="0"/>
        <w:widowControl w:val="0"/>
        <w:kinsoku/>
        <w:wordWrap/>
        <w:overflowPunct/>
        <w:topLinePunct w:val="0"/>
        <w:autoSpaceDE/>
        <w:autoSpaceDN/>
        <w:bidi w:val="0"/>
        <w:adjustRightInd/>
        <w:snapToGrid/>
        <w:ind w:firstLine="632"/>
        <w:textAlignment w:val="auto"/>
        <w:rPr>
          <w:rFonts w:ascii="楷体" w:hAnsi="楷体" w:cs="楷体"/>
          <w:b w:val="0"/>
          <w:highlight w:val="none"/>
        </w:rPr>
      </w:pPr>
      <w:bookmarkStart w:id="76" w:name="_Toc18498"/>
      <w:bookmarkStart w:id="77" w:name="_Toc5484"/>
      <w:r>
        <w:rPr>
          <w:rFonts w:hint="eastAsia" w:ascii="楷体" w:hAnsi="楷体" w:cs="楷体"/>
          <w:b w:val="0"/>
          <w:highlight w:val="none"/>
        </w:rPr>
        <w:t>（三）响应措施</w:t>
      </w:r>
      <w:bookmarkEnd w:id="76"/>
      <w:bookmarkEnd w:id="77"/>
    </w:p>
    <w:p>
      <w:pPr>
        <w:keepLines w:val="0"/>
        <w:pageBreakBefore w:val="0"/>
        <w:widowControl w:val="0"/>
        <w:kinsoku/>
        <w:wordWrap/>
        <w:overflowPunct/>
        <w:topLinePunct w:val="0"/>
        <w:autoSpaceDE/>
        <w:autoSpaceDN/>
        <w:bidi w:val="0"/>
        <w:adjustRightInd/>
        <w:snapToGrid/>
        <w:ind w:firstLine="632"/>
        <w:textAlignment w:val="auto"/>
        <w:rPr>
          <w:highlight w:val="none"/>
        </w:rPr>
      </w:pPr>
      <w:r>
        <w:rPr>
          <w:rFonts w:hint="eastAsia"/>
          <w:highlight w:val="none"/>
        </w:rPr>
        <w:t>大面积停电事件发生后，相关电力企业和重要电力用户要立即实施先期处置，全力控制事件发展态势，减少损失。各事发地县（市）区级人民政府、市电力应急指挥部成员单位根据工作需要，组织采取以下措施。</w:t>
      </w:r>
    </w:p>
    <w:p>
      <w:pPr>
        <w:pStyle w:val="5"/>
        <w:keepLines w:val="0"/>
        <w:pageBreakBefore w:val="0"/>
        <w:widowControl w:val="0"/>
        <w:kinsoku/>
        <w:wordWrap/>
        <w:overflowPunct/>
        <w:topLinePunct w:val="0"/>
        <w:autoSpaceDE/>
        <w:autoSpaceDN/>
        <w:bidi w:val="0"/>
        <w:adjustRightInd/>
        <w:snapToGrid/>
        <w:ind w:firstLine="632"/>
        <w:textAlignment w:val="auto"/>
        <w:rPr>
          <w:b w:val="0"/>
          <w:highlight w:val="none"/>
        </w:rPr>
      </w:pPr>
      <w:bookmarkStart w:id="78" w:name="_Toc8820"/>
      <w:bookmarkStart w:id="79" w:name="_Toc21488"/>
      <w:r>
        <w:rPr>
          <w:rFonts w:ascii="Times New Roman" w:hAnsi="Times New Roman" w:cs="Times New Roman"/>
          <w:b w:val="0"/>
          <w:highlight w:val="none"/>
        </w:rPr>
        <w:t>1.</w:t>
      </w:r>
      <w:r>
        <w:rPr>
          <w:rFonts w:hint="eastAsia"/>
          <w:bCs/>
          <w:highlight w:val="none"/>
        </w:rPr>
        <w:t>抢修电网并恢复运行</w:t>
      </w:r>
      <w:bookmarkEnd w:id="78"/>
      <w:bookmarkEnd w:id="79"/>
      <w:r>
        <w:rPr>
          <w:rFonts w:hint="eastAsia"/>
          <w:bCs/>
          <w:highlight w:val="none"/>
        </w:rPr>
        <w:t>。</w:t>
      </w:r>
      <w:r>
        <w:rPr>
          <w:rFonts w:hint="eastAsia"/>
          <w:b w:val="0"/>
          <w:highlight w:val="none"/>
        </w:rPr>
        <w:t>电力调度机构合理安排运行方式，控制停电范围，调度电网、电厂、用户之间的电气操作、机组启动、用电恢复；在条件具备时，优先恢复重要用户、重要区域、重点部门的电力供应。电网企业迅速组织力量抢修受损电网设备设施，根据政府应急指挥机构要求，向重要电力用户提供必要的电力支援。发电企业保证设备安全，抢修受损设备，做好发电机组并网运行准备，严格按照电力调度指令恢复机组并网运行，调整发电出力。电力用户在供电恢复过程中严格按照调度计划分时分步恢复用电。</w:t>
      </w:r>
    </w:p>
    <w:p>
      <w:pPr>
        <w:pStyle w:val="5"/>
        <w:keepLines w:val="0"/>
        <w:pageBreakBefore w:val="0"/>
        <w:widowControl w:val="0"/>
        <w:kinsoku/>
        <w:wordWrap/>
        <w:overflowPunct/>
        <w:topLinePunct w:val="0"/>
        <w:autoSpaceDE/>
        <w:autoSpaceDN/>
        <w:bidi w:val="0"/>
        <w:adjustRightInd/>
        <w:snapToGrid/>
        <w:ind w:firstLine="632"/>
        <w:textAlignment w:val="auto"/>
        <w:rPr>
          <w:b w:val="0"/>
          <w:highlight w:val="none"/>
        </w:rPr>
      </w:pPr>
      <w:bookmarkStart w:id="80" w:name="_Toc5004"/>
      <w:bookmarkStart w:id="81" w:name="_Toc32618"/>
      <w:r>
        <w:rPr>
          <w:rFonts w:hint="eastAsia" w:ascii="Times New Roman" w:hAnsi="Times New Roman" w:cs="Times New Roman"/>
          <w:b w:val="0"/>
          <w:highlight w:val="none"/>
        </w:rPr>
        <w:t>2.</w:t>
      </w:r>
      <w:r>
        <w:rPr>
          <w:rFonts w:hint="eastAsia"/>
          <w:bCs/>
          <w:highlight w:val="none"/>
        </w:rPr>
        <w:t>强化应急救援保障</w:t>
      </w:r>
      <w:bookmarkEnd w:id="80"/>
      <w:bookmarkEnd w:id="81"/>
      <w:r>
        <w:rPr>
          <w:rFonts w:hint="eastAsia"/>
          <w:bCs/>
          <w:highlight w:val="none"/>
        </w:rPr>
        <w:t>。</w:t>
      </w:r>
      <w:r>
        <w:rPr>
          <w:rFonts w:hint="eastAsia"/>
          <w:b w:val="0"/>
          <w:highlight w:val="none"/>
        </w:rPr>
        <w:t>通信管理部门保障应急通信畅通；交通运输、铁路等部门保障发电燃料、抢险救援物资、必要生活资料等的运输；公安交警部门加强道路交通指挥和疏导，保障各项应急工作的正常进行。</w:t>
      </w:r>
    </w:p>
    <w:p>
      <w:pPr>
        <w:pStyle w:val="5"/>
        <w:keepLines w:val="0"/>
        <w:pageBreakBefore w:val="0"/>
        <w:widowControl w:val="0"/>
        <w:kinsoku/>
        <w:wordWrap/>
        <w:overflowPunct/>
        <w:topLinePunct w:val="0"/>
        <w:autoSpaceDE/>
        <w:autoSpaceDN/>
        <w:bidi w:val="0"/>
        <w:adjustRightInd/>
        <w:snapToGrid/>
        <w:ind w:firstLine="632"/>
        <w:textAlignment w:val="auto"/>
        <w:rPr>
          <w:b w:val="0"/>
          <w:highlight w:val="none"/>
        </w:rPr>
      </w:pPr>
      <w:bookmarkStart w:id="82" w:name="_Toc3805"/>
      <w:bookmarkStart w:id="83" w:name="_Toc13613"/>
      <w:r>
        <w:rPr>
          <w:rFonts w:hint="eastAsia" w:ascii="Times New Roman" w:hAnsi="Times New Roman" w:cs="Times New Roman"/>
          <w:b w:val="0"/>
          <w:highlight w:val="none"/>
        </w:rPr>
        <w:t>3.</w:t>
      </w:r>
      <w:r>
        <w:rPr>
          <w:rFonts w:hint="eastAsia"/>
          <w:bCs/>
          <w:highlight w:val="none"/>
        </w:rPr>
        <w:t>防范次生衍生事故</w:t>
      </w:r>
      <w:bookmarkEnd w:id="82"/>
      <w:bookmarkEnd w:id="83"/>
      <w:r>
        <w:rPr>
          <w:rFonts w:hint="eastAsia"/>
          <w:bCs/>
          <w:highlight w:val="none"/>
        </w:rPr>
        <w:t>。</w:t>
      </w:r>
      <w:r>
        <w:rPr>
          <w:rFonts w:hint="eastAsia"/>
          <w:b w:val="0"/>
          <w:highlight w:val="none"/>
        </w:rPr>
        <w:t>重要电力用户按照有关技术要求迅速启动自备应急电源，加强危险化学品重大危险源、重要目标、重大关键基础设施隐患排查与监测预警，及时采取防范措施，有效防止各种次生衍生事故。消防救援部门做好灭火救援准备工作，及时扑灭停电期间发生的各类火灾。</w:t>
      </w:r>
    </w:p>
    <w:p>
      <w:pPr>
        <w:pStyle w:val="5"/>
        <w:keepLines w:val="0"/>
        <w:pageBreakBefore w:val="0"/>
        <w:widowControl w:val="0"/>
        <w:kinsoku/>
        <w:wordWrap/>
        <w:overflowPunct/>
        <w:topLinePunct w:val="0"/>
        <w:autoSpaceDE/>
        <w:autoSpaceDN/>
        <w:bidi w:val="0"/>
        <w:adjustRightInd/>
        <w:snapToGrid/>
        <w:ind w:firstLine="632"/>
        <w:textAlignment w:val="auto"/>
        <w:rPr>
          <w:b w:val="0"/>
          <w:highlight w:val="none"/>
        </w:rPr>
      </w:pPr>
      <w:bookmarkStart w:id="84" w:name="_Toc5649"/>
      <w:bookmarkStart w:id="85" w:name="_Toc21945"/>
      <w:r>
        <w:rPr>
          <w:rFonts w:hint="eastAsia" w:ascii="Times New Roman" w:hAnsi="Times New Roman" w:cs="Times New Roman"/>
          <w:b w:val="0"/>
          <w:highlight w:val="none"/>
        </w:rPr>
        <w:t>4.</w:t>
      </w:r>
      <w:r>
        <w:rPr>
          <w:rFonts w:hint="eastAsia"/>
          <w:bCs/>
          <w:highlight w:val="none"/>
        </w:rPr>
        <w:t>保障居民基本生活</w:t>
      </w:r>
      <w:bookmarkEnd w:id="84"/>
      <w:bookmarkEnd w:id="85"/>
      <w:r>
        <w:rPr>
          <w:rFonts w:hint="eastAsia"/>
          <w:bCs/>
          <w:highlight w:val="none"/>
        </w:rPr>
        <w:t>。</w:t>
      </w:r>
      <w:r>
        <w:rPr>
          <w:rFonts w:hint="eastAsia"/>
          <w:b w:val="0"/>
          <w:highlight w:val="none"/>
        </w:rPr>
        <w:t>水务、消防救援部门迅速启用应急供水措施，保障居民用水需求；物资供应部门要迅速组织有关物资的加工、生产、运输和销售，保证停电期间居民基本生活；卫生健康部门要立即组织开展相应应急医疗救治工作，保证大面积停电期间各类伤员的救治。</w:t>
      </w:r>
    </w:p>
    <w:p>
      <w:pPr>
        <w:pStyle w:val="5"/>
        <w:keepLines w:val="0"/>
        <w:pageBreakBefore w:val="0"/>
        <w:widowControl w:val="0"/>
        <w:kinsoku/>
        <w:wordWrap/>
        <w:overflowPunct/>
        <w:topLinePunct w:val="0"/>
        <w:autoSpaceDE/>
        <w:autoSpaceDN/>
        <w:bidi w:val="0"/>
        <w:adjustRightInd/>
        <w:snapToGrid/>
        <w:ind w:firstLine="632"/>
        <w:textAlignment w:val="auto"/>
        <w:rPr>
          <w:b w:val="0"/>
          <w:highlight w:val="none"/>
        </w:rPr>
      </w:pPr>
      <w:bookmarkStart w:id="86" w:name="_Toc24126"/>
      <w:bookmarkStart w:id="87" w:name="_Toc30524"/>
      <w:r>
        <w:rPr>
          <w:rFonts w:hint="eastAsia" w:ascii="Times New Roman" w:hAnsi="Times New Roman" w:cs="Times New Roman"/>
          <w:b w:val="0"/>
          <w:highlight w:val="none"/>
        </w:rPr>
        <w:t>5.</w:t>
      </w:r>
      <w:r>
        <w:rPr>
          <w:rFonts w:hint="eastAsia"/>
          <w:bCs/>
          <w:highlight w:val="none"/>
        </w:rPr>
        <w:t>维护社会稳定</w:t>
      </w:r>
      <w:bookmarkEnd w:id="86"/>
      <w:bookmarkEnd w:id="87"/>
      <w:r>
        <w:rPr>
          <w:rFonts w:hint="eastAsia"/>
          <w:bCs/>
          <w:highlight w:val="none"/>
        </w:rPr>
        <w:t>。</w:t>
      </w:r>
      <w:r>
        <w:rPr>
          <w:rFonts w:hint="eastAsia"/>
          <w:b w:val="0"/>
          <w:highlight w:val="none"/>
        </w:rPr>
        <w:t>公安、武警等部门加强涉及国家安全和公共安全的重点单位安全保卫工作，严密防范和严厉打击违法犯罪活动。加强对停电区域内繁华街区、大型居民区、大型商场、学校、医院、金融机构、车站、码头及其它重要生产经营场所等重点地区、重点部位、人员密集场所的治安巡逻，及时疏散人员，解救被困人员，防范治安事件；公安交警部门加强停电地区道路交通指挥和疏导，缓解交通堵塞；各级政府要严厉打击造谣惑众、囤积居奇、哄抬物价等各种违法违纪行为。</w:t>
      </w:r>
    </w:p>
    <w:p>
      <w:pPr>
        <w:pStyle w:val="5"/>
        <w:keepLines w:val="0"/>
        <w:pageBreakBefore w:val="0"/>
        <w:widowControl w:val="0"/>
        <w:kinsoku/>
        <w:wordWrap/>
        <w:overflowPunct/>
        <w:topLinePunct w:val="0"/>
        <w:autoSpaceDE/>
        <w:autoSpaceDN/>
        <w:bidi w:val="0"/>
        <w:adjustRightInd/>
        <w:snapToGrid/>
        <w:ind w:firstLine="632"/>
        <w:textAlignment w:val="auto"/>
        <w:rPr>
          <w:b w:val="0"/>
          <w:highlight w:val="none"/>
        </w:rPr>
      </w:pPr>
      <w:bookmarkStart w:id="88" w:name="_Toc3824"/>
      <w:bookmarkStart w:id="89" w:name="_Toc12555"/>
      <w:r>
        <w:rPr>
          <w:rFonts w:hint="eastAsia" w:ascii="Times New Roman" w:hAnsi="Times New Roman" w:cs="Times New Roman"/>
          <w:b w:val="0"/>
          <w:highlight w:val="none"/>
        </w:rPr>
        <w:t>6.</w:t>
      </w:r>
      <w:r>
        <w:rPr>
          <w:rFonts w:hint="eastAsia"/>
          <w:bCs/>
          <w:highlight w:val="none"/>
        </w:rPr>
        <w:t>加强信息发布</w:t>
      </w:r>
      <w:bookmarkEnd w:id="88"/>
      <w:bookmarkEnd w:id="89"/>
      <w:r>
        <w:rPr>
          <w:rFonts w:hint="eastAsia"/>
          <w:bCs/>
          <w:highlight w:val="none"/>
        </w:rPr>
        <w:t>。</w:t>
      </w:r>
      <w:r>
        <w:rPr>
          <w:rFonts w:hint="eastAsia"/>
          <w:b w:val="0"/>
          <w:highlight w:val="none"/>
        </w:rPr>
        <w:t>市电力应急指挥部统一发布有关信息，主动向社会发布停电相关信息和应对工作情况，提示相关注意事项和安保措施。宣传部门指导和协调有关部门、单位和新闻媒体加强信息发布和舆论引导，加强舆情收集分析，及时回应社会关切，澄清不实消息，正确引导社会舆论，稳定公众情绪。</w:t>
      </w:r>
    </w:p>
    <w:p>
      <w:pPr>
        <w:pStyle w:val="5"/>
        <w:keepLines w:val="0"/>
        <w:pageBreakBefore w:val="0"/>
        <w:widowControl w:val="0"/>
        <w:kinsoku/>
        <w:wordWrap/>
        <w:overflowPunct/>
        <w:topLinePunct w:val="0"/>
        <w:autoSpaceDE/>
        <w:autoSpaceDN/>
        <w:bidi w:val="0"/>
        <w:adjustRightInd/>
        <w:snapToGrid/>
        <w:ind w:firstLine="632"/>
        <w:textAlignment w:val="auto"/>
        <w:rPr>
          <w:b w:val="0"/>
          <w:highlight w:val="none"/>
        </w:rPr>
      </w:pPr>
      <w:bookmarkStart w:id="90" w:name="_Toc519"/>
      <w:bookmarkStart w:id="91" w:name="_Toc10393"/>
      <w:r>
        <w:rPr>
          <w:rFonts w:hint="eastAsia" w:ascii="Times New Roman" w:hAnsi="Times New Roman" w:cs="Times New Roman"/>
          <w:b w:val="0"/>
          <w:highlight w:val="none"/>
        </w:rPr>
        <w:t>7.</w:t>
      </w:r>
      <w:r>
        <w:rPr>
          <w:rFonts w:hint="eastAsia"/>
          <w:bCs/>
          <w:highlight w:val="none"/>
        </w:rPr>
        <w:t>组织事态评估</w:t>
      </w:r>
      <w:bookmarkEnd w:id="90"/>
      <w:bookmarkEnd w:id="91"/>
      <w:r>
        <w:rPr>
          <w:rFonts w:hint="eastAsia"/>
          <w:bCs/>
          <w:highlight w:val="none"/>
        </w:rPr>
        <w:t>。</w:t>
      </w:r>
      <w:r>
        <w:rPr>
          <w:rFonts w:hint="eastAsia"/>
          <w:b w:val="0"/>
          <w:highlight w:val="none"/>
        </w:rPr>
        <w:t>电网企业及时组织对大面积停电事件影响范围、影响程度、发展趋势及恢复进度进行评估，为进一步做好应对工作提供依据。</w:t>
      </w:r>
    </w:p>
    <w:p>
      <w:pPr>
        <w:pStyle w:val="4"/>
        <w:keepLines w:val="0"/>
        <w:pageBreakBefore w:val="0"/>
        <w:widowControl w:val="0"/>
        <w:kinsoku/>
        <w:wordWrap/>
        <w:overflowPunct/>
        <w:topLinePunct w:val="0"/>
        <w:autoSpaceDE/>
        <w:autoSpaceDN/>
        <w:bidi w:val="0"/>
        <w:adjustRightInd/>
        <w:snapToGrid/>
        <w:ind w:firstLine="632"/>
        <w:textAlignment w:val="auto"/>
        <w:rPr>
          <w:rFonts w:ascii="楷体" w:hAnsi="楷体" w:cs="楷体"/>
          <w:b w:val="0"/>
          <w:highlight w:val="none"/>
        </w:rPr>
      </w:pPr>
      <w:bookmarkStart w:id="92" w:name="_Toc11609"/>
      <w:bookmarkStart w:id="93" w:name="_Toc23617"/>
      <w:r>
        <w:rPr>
          <w:rFonts w:hint="eastAsia" w:ascii="楷体" w:hAnsi="楷体" w:cs="楷体"/>
          <w:b w:val="0"/>
          <w:highlight w:val="none"/>
        </w:rPr>
        <w:t>（四）市电力应急指挥部应对</w:t>
      </w:r>
      <w:bookmarkEnd w:id="92"/>
      <w:bookmarkEnd w:id="93"/>
    </w:p>
    <w:p>
      <w:pPr>
        <w:pStyle w:val="5"/>
        <w:keepLines w:val="0"/>
        <w:pageBreakBefore w:val="0"/>
        <w:widowControl w:val="0"/>
        <w:kinsoku/>
        <w:wordWrap/>
        <w:overflowPunct/>
        <w:topLinePunct w:val="0"/>
        <w:autoSpaceDE/>
        <w:autoSpaceDN/>
        <w:bidi w:val="0"/>
        <w:adjustRightInd/>
        <w:snapToGrid/>
        <w:ind w:firstLine="632"/>
        <w:textAlignment w:val="auto"/>
        <w:rPr>
          <w:b w:val="0"/>
          <w:highlight w:val="none"/>
        </w:rPr>
      </w:pPr>
      <w:r>
        <w:rPr>
          <w:rFonts w:hint="eastAsia"/>
          <w:b w:val="0"/>
          <w:highlight w:val="none"/>
        </w:rPr>
        <w:t>初判发生重大或较大大面积停电事件时，根据事件应对工作需要和市政府决策部署，履行市电力应急指挥部职能，统一领导、组织和指挥大面积停电事件应急处置工作，组织有关部门和单位、专家组进行会商，研究分析事态；根据需要赴事发现场，或派出前方工作组赴事发现场，协调开展应对工作；研究决定地方政府、有关部门和有关电力企业提出的请求事项，重要事项报市政府决策；统一组织信息发布和舆论引导工作；组织开展事件处置评估；对事件处置工作进行总结并向市政府报告。</w:t>
      </w:r>
    </w:p>
    <w:p>
      <w:pPr>
        <w:pStyle w:val="4"/>
        <w:keepLines w:val="0"/>
        <w:pageBreakBefore w:val="0"/>
        <w:widowControl w:val="0"/>
        <w:kinsoku/>
        <w:wordWrap/>
        <w:overflowPunct/>
        <w:topLinePunct w:val="0"/>
        <w:autoSpaceDE/>
        <w:autoSpaceDN/>
        <w:bidi w:val="0"/>
        <w:adjustRightInd/>
        <w:snapToGrid/>
        <w:ind w:firstLine="632"/>
        <w:textAlignment w:val="auto"/>
        <w:rPr>
          <w:rFonts w:ascii="楷体" w:hAnsi="楷体" w:cs="楷体"/>
          <w:b w:val="0"/>
          <w:highlight w:val="none"/>
        </w:rPr>
      </w:pPr>
      <w:bookmarkStart w:id="94" w:name="_Toc31723"/>
      <w:bookmarkStart w:id="95" w:name="_Toc4732"/>
      <w:r>
        <w:rPr>
          <w:rFonts w:hint="eastAsia" w:ascii="楷体" w:hAnsi="楷体" w:cs="楷体"/>
          <w:b w:val="0"/>
          <w:highlight w:val="none"/>
        </w:rPr>
        <w:t>（五）电力企业应对</w:t>
      </w:r>
      <w:bookmarkEnd w:id="94"/>
      <w:bookmarkEnd w:id="95"/>
    </w:p>
    <w:p>
      <w:pPr>
        <w:keepLines w:val="0"/>
        <w:pageBreakBefore w:val="0"/>
        <w:widowControl w:val="0"/>
        <w:kinsoku/>
        <w:wordWrap/>
        <w:overflowPunct/>
        <w:topLinePunct w:val="0"/>
        <w:autoSpaceDE/>
        <w:autoSpaceDN/>
        <w:bidi w:val="0"/>
        <w:adjustRightInd/>
        <w:snapToGrid/>
        <w:ind w:firstLine="632"/>
        <w:textAlignment w:val="auto"/>
        <w:rPr>
          <w:highlight w:val="none"/>
        </w:rPr>
      </w:pPr>
      <w:r>
        <w:rPr>
          <w:rFonts w:hint="eastAsia"/>
          <w:highlight w:val="none"/>
        </w:rPr>
        <w:t>当发生大面积停电事件时，根据突发事件严重程度，由电力企业应急领导小组研究决定启动公司大面积停电事件应急预案，在市电力应急指挥部领导下，统一指挥、协调电力企业大面积停电事件应对工作，主要开展以下工作：密切关注事态发展，收集相关信息，及时向市电力应急指挥部报告；加强电网运行风险管控，落实“先降后控”要求，强化专业协同、网源协调、政企联动，从电网运行、运维保障、施工组织、负荷控制、机组调峰、客户管理等方面制定落实综合管控措施，严防风险失控；加强设备巡查检修和运行监测，采取有效措施控制事态发展，组织相关应急救援队伍和人员进入待命状态，并做好应急所需物资、装备和设备等应急保障准备工作，增加客户服务值班力量，督促合理安排电网运行方式，做好异常情况处置和应急信息发布准备；组织企业内部相关部门开展应急值班，必要时组织专家进行会商和评估；加强与政府相关部门沟通，及时报告事件信息，做好新闻宣传和舆论引导工作；</w:t>
      </w:r>
      <w:bookmarkStart w:id="96" w:name="_Toc18314"/>
      <w:bookmarkStart w:id="97" w:name="_Toc28274"/>
      <w:r>
        <w:rPr>
          <w:rFonts w:hint="eastAsia"/>
          <w:highlight w:val="none"/>
        </w:rPr>
        <w:t>电力企业相关单位按照地方人民政府要求做好相关工作。</w:t>
      </w:r>
      <w:bookmarkEnd w:id="96"/>
      <w:bookmarkEnd w:id="97"/>
    </w:p>
    <w:p>
      <w:pPr>
        <w:pStyle w:val="4"/>
        <w:keepLines w:val="0"/>
        <w:pageBreakBefore w:val="0"/>
        <w:widowControl w:val="0"/>
        <w:kinsoku/>
        <w:wordWrap/>
        <w:overflowPunct/>
        <w:topLinePunct w:val="0"/>
        <w:autoSpaceDE/>
        <w:autoSpaceDN/>
        <w:bidi w:val="0"/>
        <w:adjustRightInd/>
        <w:snapToGrid/>
        <w:ind w:firstLine="632"/>
        <w:textAlignment w:val="auto"/>
        <w:rPr>
          <w:rFonts w:ascii="楷体" w:hAnsi="楷体" w:cs="楷体"/>
          <w:b w:val="0"/>
          <w:highlight w:val="none"/>
        </w:rPr>
      </w:pPr>
      <w:bookmarkStart w:id="98" w:name="_Toc23685"/>
      <w:bookmarkStart w:id="99" w:name="_Toc6581"/>
      <w:r>
        <w:rPr>
          <w:rFonts w:hint="eastAsia" w:ascii="楷体" w:hAnsi="楷体" w:cs="楷体"/>
          <w:b w:val="0"/>
          <w:highlight w:val="none"/>
        </w:rPr>
        <w:t>（六）重要电力用户应对</w:t>
      </w:r>
      <w:bookmarkEnd w:id="98"/>
      <w:bookmarkEnd w:id="99"/>
    </w:p>
    <w:p>
      <w:pPr>
        <w:pStyle w:val="5"/>
        <w:keepLines w:val="0"/>
        <w:pageBreakBefore w:val="0"/>
        <w:widowControl w:val="0"/>
        <w:kinsoku/>
        <w:wordWrap/>
        <w:overflowPunct/>
        <w:topLinePunct w:val="0"/>
        <w:autoSpaceDE/>
        <w:autoSpaceDN/>
        <w:bidi w:val="0"/>
        <w:adjustRightInd/>
        <w:snapToGrid/>
        <w:ind w:firstLine="632"/>
        <w:textAlignment w:val="auto"/>
        <w:rPr>
          <w:b w:val="0"/>
          <w:highlight w:val="none"/>
        </w:rPr>
      </w:pPr>
      <w:bookmarkStart w:id="100" w:name="_Toc15676"/>
      <w:bookmarkStart w:id="101" w:name="_Toc27586"/>
      <w:r>
        <w:rPr>
          <w:rFonts w:ascii="Times New Roman" w:hAnsi="Times New Roman" w:cs="Times New Roman"/>
          <w:b w:val="0"/>
          <w:highlight w:val="none"/>
        </w:rPr>
        <w:t>1.</w:t>
      </w:r>
      <w:r>
        <w:rPr>
          <w:rFonts w:hint="eastAsia"/>
          <w:bCs/>
          <w:highlight w:val="none"/>
        </w:rPr>
        <w:t>社会类重要电力用户</w:t>
      </w:r>
      <w:bookmarkEnd w:id="100"/>
      <w:bookmarkEnd w:id="101"/>
      <w:r>
        <w:rPr>
          <w:rFonts w:hint="eastAsia"/>
          <w:bCs/>
          <w:highlight w:val="none"/>
        </w:rPr>
        <w:t>。</w:t>
      </w:r>
      <w:r>
        <w:rPr>
          <w:rFonts w:hint="eastAsia"/>
          <w:b w:val="0"/>
          <w:highlight w:val="none"/>
        </w:rPr>
        <w:t>对维护基本公共秩序、保障人身安全和避免重大经济损失具有重要意义的政府机关、医疗、交通、通信、广播电视、供水、供气、供热、加油(加气)、排水泵站、污水处理等单位,当所在区域发生大面积停电事件时，根据突发事件严重程度，统一指挥、协调大面积停电事件应对工作，主要开展以下工作：应根据相关规定合理配置供电电源和自备应急电源,完善非电保安等各种保障措施,并定期检查维护,确保相关设施设备的可靠性和有效性；发生大面积停电事件时,负责本单位职责范围内的事故抢险和应急处置工作,根据有关情况,向有关部门单位请求支援,并按照市电力应急指挥部的指令对外开展支援。</w:t>
      </w:r>
    </w:p>
    <w:p>
      <w:pPr>
        <w:pStyle w:val="5"/>
        <w:keepLines w:val="0"/>
        <w:pageBreakBefore w:val="0"/>
        <w:widowControl w:val="0"/>
        <w:kinsoku/>
        <w:wordWrap/>
        <w:overflowPunct/>
        <w:topLinePunct w:val="0"/>
        <w:autoSpaceDE/>
        <w:autoSpaceDN/>
        <w:bidi w:val="0"/>
        <w:adjustRightInd/>
        <w:snapToGrid/>
        <w:ind w:firstLine="632"/>
        <w:textAlignment w:val="auto"/>
        <w:rPr>
          <w:b w:val="0"/>
          <w:highlight w:val="none"/>
        </w:rPr>
      </w:pPr>
      <w:bookmarkStart w:id="102" w:name="_Toc11127"/>
      <w:bookmarkStart w:id="103" w:name="_Toc13154"/>
      <w:r>
        <w:rPr>
          <w:rFonts w:hint="eastAsia" w:ascii="Times New Roman" w:hAnsi="Times New Roman" w:cs="Times New Roman"/>
          <w:b w:val="0"/>
          <w:highlight w:val="none"/>
        </w:rPr>
        <w:t>2.</w:t>
      </w:r>
      <w:r>
        <w:rPr>
          <w:rFonts w:hint="eastAsia"/>
          <w:bCs/>
          <w:highlight w:val="none"/>
        </w:rPr>
        <w:t>工业类重要电力用户</w:t>
      </w:r>
      <w:bookmarkEnd w:id="102"/>
      <w:bookmarkEnd w:id="103"/>
      <w:r>
        <w:rPr>
          <w:rFonts w:hint="eastAsia"/>
          <w:bCs/>
          <w:highlight w:val="none"/>
        </w:rPr>
        <w:t>。</w:t>
      </w:r>
      <w:r>
        <w:rPr>
          <w:rFonts w:hint="eastAsia"/>
          <w:b w:val="0"/>
          <w:highlight w:val="none"/>
        </w:rPr>
        <w:t>大面积停电事件影响到工业类重要电力用户，尤其是影响到石油化工企业时，因该类企业在生产、储存、使用等过程中具有爆炸、火灾、中毒等危险性，事故危险程度较高，根据突发事件严重程度，统一指挥、协调大面积停电事件应对工作，主要开展以下工作：及时与国网吉林供电公司联系，确认停电性质，及时采取防范措施，防止发生次生衍生事故；当企业内存在一级负荷或特别重要负荷用电设施时，应立即投入应急电源，为一级负荷或特别重要负荷用电设施供电；保证关键装置和重要设施能够得到有效控制，避免有毒物质泄漏或发生火灾、爆炸事故；根据有关情况,向有关部门单位请求支援,并按照市电力应急指挥部的指令开展现场处置；加强与政府相关部门沟通，及时报告事件信息，做好新闻宣传和舆论引导工作。</w:t>
      </w:r>
    </w:p>
    <w:p>
      <w:pPr>
        <w:pStyle w:val="4"/>
        <w:keepLines w:val="0"/>
        <w:pageBreakBefore w:val="0"/>
        <w:widowControl w:val="0"/>
        <w:kinsoku/>
        <w:wordWrap/>
        <w:overflowPunct/>
        <w:topLinePunct w:val="0"/>
        <w:autoSpaceDE/>
        <w:autoSpaceDN/>
        <w:bidi w:val="0"/>
        <w:adjustRightInd/>
        <w:snapToGrid/>
        <w:ind w:firstLine="632"/>
        <w:textAlignment w:val="auto"/>
        <w:rPr>
          <w:rFonts w:ascii="楷体" w:hAnsi="楷体" w:cs="楷体"/>
          <w:b w:val="0"/>
          <w:highlight w:val="none"/>
        </w:rPr>
      </w:pPr>
      <w:bookmarkStart w:id="104" w:name="_Toc10197"/>
      <w:bookmarkStart w:id="105" w:name="_Toc1118"/>
      <w:r>
        <w:rPr>
          <w:rFonts w:hint="eastAsia" w:ascii="楷体" w:hAnsi="楷体" w:cs="楷体"/>
          <w:b w:val="0"/>
          <w:highlight w:val="none"/>
        </w:rPr>
        <w:t>（七）响应终止</w:t>
      </w:r>
      <w:bookmarkEnd w:id="104"/>
      <w:bookmarkEnd w:id="105"/>
    </w:p>
    <w:p>
      <w:pPr>
        <w:keepLines w:val="0"/>
        <w:pageBreakBefore w:val="0"/>
        <w:widowControl w:val="0"/>
        <w:kinsoku/>
        <w:wordWrap/>
        <w:overflowPunct/>
        <w:topLinePunct w:val="0"/>
        <w:autoSpaceDE/>
        <w:autoSpaceDN/>
        <w:bidi w:val="0"/>
        <w:adjustRightInd/>
        <w:snapToGrid/>
        <w:ind w:firstLine="632"/>
        <w:textAlignment w:val="auto"/>
        <w:rPr>
          <w:highlight w:val="none"/>
        </w:rPr>
      </w:pPr>
      <w:r>
        <w:rPr>
          <w:rFonts w:hint="eastAsia"/>
          <w:highlight w:val="none"/>
        </w:rPr>
        <w:t>同时满足以下条件时，由启动响应的各级政府终止应急响应。</w:t>
      </w:r>
    </w:p>
    <w:p>
      <w:pPr>
        <w:keepLines w:val="0"/>
        <w:pageBreakBefore w:val="0"/>
        <w:widowControl w:val="0"/>
        <w:kinsoku/>
        <w:wordWrap/>
        <w:overflowPunct/>
        <w:topLinePunct w:val="0"/>
        <w:autoSpaceDE/>
        <w:autoSpaceDN/>
        <w:bidi w:val="0"/>
        <w:adjustRightInd/>
        <w:snapToGrid/>
        <w:ind w:firstLine="632"/>
        <w:textAlignment w:val="auto"/>
        <w:rPr>
          <w:highlight w:val="none"/>
        </w:rPr>
      </w:pPr>
      <w:r>
        <w:rPr>
          <w:rFonts w:ascii="Times New Roman" w:hAnsi="Times New Roman" w:cs="Times New Roman"/>
          <w:highlight w:val="none"/>
        </w:rPr>
        <w:t>1.</w:t>
      </w:r>
      <w:r>
        <w:rPr>
          <w:rFonts w:hint="eastAsia"/>
          <w:highlight w:val="none"/>
        </w:rPr>
        <w:t>电网主干网架基本恢复正常，电网运行参数保持在稳定限额之内，主要发电厂机组运行稳定；</w:t>
      </w:r>
    </w:p>
    <w:p>
      <w:pPr>
        <w:keepLines w:val="0"/>
        <w:pageBreakBefore w:val="0"/>
        <w:widowControl w:val="0"/>
        <w:kinsoku/>
        <w:wordWrap/>
        <w:overflowPunct/>
        <w:topLinePunct w:val="0"/>
        <w:autoSpaceDE/>
        <w:autoSpaceDN/>
        <w:bidi w:val="0"/>
        <w:adjustRightInd/>
        <w:snapToGrid/>
        <w:ind w:firstLine="632"/>
        <w:textAlignment w:val="auto"/>
        <w:rPr>
          <w:highlight w:val="none"/>
        </w:rPr>
      </w:pPr>
      <w:r>
        <w:rPr>
          <w:rFonts w:ascii="Times New Roman" w:hAnsi="Times New Roman" w:cs="Times New Roman"/>
          <w:highlight w:val="none"/>
        </w:rPr>
        <w:t>2.</w:t>
      </w:r>
      <w:r>
        <w:rPr>
          <w:rFonts w:hint="eastAsia"/>
          <w:highlight w:val="none"/>
        </w:rPr>
        <w:t>减供负荷恢复</w:t>
      </w:r>
      <w:r>
        <w:rPr>
          <w:rFonts w:ascii="Times New Roman" w:hAnsi="Times New Roman" w:cs="Times New Roman"/>
          <w:highlight w:val="none"/>
        </w:rPr>
        <w:t>80%</w:t>
      </w:r>
      <w:r>
        <w:rPr>
          <w:rFonts w:hint="eastAsia"/>
          <w:highlight w:val="none"/>
        </w:rPr>
        <w:t>以上，受停电影响的重点地区、重要城市负荷恢复</w:t>
      </w:r>
      <w:r>
        <w:rPr>
          <w:rFonts w:ascii="Times New Roman" w:hAnsi="Times New Roman" w:cs="Times New Roman"/>
          <w:highlight w:val="none"/>
        </w:rPr>
        <w:t>90%</w:t>
      </w:r>
      <w:r>
        <w:rPr>
          <w:rFonts w:hint="eastAsia"/>
          <w:highlight w:val="none"/>
        </w:rPr>
        <w:t>以上；</w:t>
      </w:r>
    </w:p>
    <w:p>
      <w:pPr>
        <w:keepLines w:val="0"/>
        <w:pageBreakBefore w:val="0"/>
        <w:widowControl w:val="0"/>
        <w:kinsoku/>
        <w:wordWrap/>
        <w:overflowPunct/>
        <w:topLinePunct w:val="0"/>
        <w:autoSpaceDE/>
        <w:autoSpaceDN/>
        <w:bidi w:val="0"/>
        <w:adjustRightInd/>
        <w:snapToGrid/>
        <w:ind w:firstLine="632"/>
        <w:textAlignment w:val="auto"/>
        <w:rPr>
          <w:highlight w:val="none"/>
        </w:rPr>
      </w:pPr>
      <w:r>
        <w:rPr>
          <w:rFonts w:ascii="Times New Roman" w:hAnsi="Times New Roman" w:cs="Times New Roman"/>
          <w:highlight w:val="none"/>
        </w:rPr>
        <w:t>3.</w:t>
      </w:r>
      <w:r>
        <w:rPr>
          <w:rFonts w:hint="eastAsia"/>
          <w:highlight w:val="none"/>
        </w:rPr>
        <w:t>造成大面积停电事件的隐患基本消除；</w:t>
      </w:r>
    </w:p>
    <w:p>
      <w:pPr>
        <w:keepLines w:val="0"/>
        <w:pageBreakBefore w:val="0"/>
        <w:widowControl w:val="0"/>
        <w:kinsoku/>
        <w:wordWrap/>
        <w:overflowPunct/>
        <w:topLinePunct w:val="0"/>
        <w:autoSpaceDE/>
        <w:autoSpaceDN/>
        <w:bidi w:val="0"/>
        <w:adjustRightInd/>
        <w:snapToGrid/>
        <w:ind w:firstLine="632"/>
        <w:textAlignment w:val="auto"/>
        <w:rPr>
          <w:highlight w:val="none"/>
        </w:rPr>
      </w:pPr>
      <w:r>
        <w:rPr>
          <w:rFonts w:ascii="Times New Roman" w:hAnsi="Times New Roman" w:cs="Times New Roman"/>
          <w:highlight w:val="none"/>
        </w:rPr>
        <w:t>4.</w:t>
      </w:r>
      <w:r>
        <w:rPr>
          <w:rFonts w:hint="eastAsia"/>
          <w:highlight w:val="none"/>
        </w:rPr>
        <w:t>大面积停电事件造成的重特大次生衍生事故基本处置完成。</w:t>
      </w:r>
    </w:p>
    <w:p>
      <w:pPr>
        <w:pStyle w:val="3"/>
        <w:keepLines w:val="0"/>
        <w:pageBreakBefore w:val="0"/>
        <w:widowControl w:val="0"/>
        <w:kinsoku/>
        <w:wordWrap/>
        <w:overflowPunct/>
        <w:topLinePunct w:val="0"/>
        <w:autoSpaceDE/>
        <w:autoSpaceDN/>
        <w:bidi w:val="0"/>
        <w:adjustRightInd/>
        <w:snapToGrid/>
        <w:ind w:firstLine="632"/>
        <w:jc w:val="both"/>
        <w:textAlignment w:val="auto"/>
        <w:rPr>
          <w:rFonts w:ascii="黑体" w:hAnsi="黑体" w:cs="黑体"/>
          <w:b w:val="0"/>
          <w:bCs w:val="0"/>
          <w:highlight w:val="none"/>
        </w:rPr>
      </w:pPr>
      <w:bookmarkStart w:id="106" w:name="_Toc13564"/>
      <w:bookmarkStart w:id="107" w:name="_Toc13893"/>
      <w:r>
        <w:rPr>
          <w:rFonts w:hint="eastAsia" w:ascii="黑体" w:hAnsi="黑体" w:cs="黑体"/>
          <w:b w:val="0"/>
          <w:bCs w:val="0"/>
          <w:highlight w:val="none"/>
        </w:rPr>
        <w:t>五、后期处置</w:t>
      </w:r>
      <w:bookmarkEnd w:id="106"/>
      <w:bookmarkEnd w:id="107"/>
    </w:p>
    <w:p>
      <w:pPr>
        <w:pStyle w:val="4"/>
        <w:keepLines w:val="0"/>
        <w:pageBreakBefore w:val="0"/>
        <w:widowControl w:val="0"/>
        <w:kinsoku/>
        <w:wordWrap/>
        <w:overflowPunct/>
        <w:topLinePunct w:val="0"/>
        <w:autoSpaceDE/>
        <w:autoSpaceDN/>
        <w:bidi w:val="0"/>
        <w:adjustRightInd/>
        <w:snapToGrid/>
        <w:ind w:firstLine="632"/>
        <w:textAlignment w:val="auto"/>
        <w:rPr>
          <w:rFonts w:ascii="楷体" w:hAnsi="楷体" w:cs="楷体"/>
          <w:b w:val="0"/>
          <w:highlight w:val="none"/>
        </w:rPr>
      </w:pPr>
      <w:bookmarkStart w:id="108" w:name="_Toc7342"/>
      <w:bookmarkStart w:id="109" w:name="_Toc16495"/>
      <w:r>
        <w:rPr>
          <w:rFonts w:hint="eastAsia" w:ascii="楷体" w:hAnsi="楷体" w:cs="楷体"/>
          <w:b w:val="0"/>
          <w:highlight w:val="none"/>
        </w:rPr>
        <w:t>（一）处置评估</w:t>
      </w:r>
      <w:bookmarkEnd w:id="108"/>
      <w:bookmarkEnd w:id="109"/>
    </w:p>
    <w:p>
      <w:pPr>
        <w:keepLines w:val="0"/>
        <w:pageBreakBefore w:val="0"/>
        <w:widowControl w:val="0"/>
        <w:kinsoku/>
        <w:wordWrap/>
        <w:overflowPunct/>
        <w:topLinePunct w:val="0"/>
        <w:autoSpaceDE/>
        <w:autoSpaceDN/>
        <w:bidi w:val="0"/>
        <w:adjustRightInd/>
        <w:snapToGrid/>
        <w:ind w:firstLine="632"/>
        <w:textAlignment w:val="auto"/>
        <w:rPr>
          <w:highlight w:val="none"/>
        </w:rPr>
      </w:pPr>
      <w:r>
        <w:rPr>
          <w:rFonts w:hint="eastAsia"/>
          <w:highlight w:val="none"/>
        </w:rPr>
        <w:t>大面积停电事件应急响应终止后，由履行统一领导职责的人民政府及时组织开展事件处置评估工作。重大大面积停电事件由省电力应急指挥部配合国家大面积停电应急指挥部组织开展或独立开展处置评估，较大、一般大面积停电事件由市电力应急指挥部组织开展处置评估，总结经验教训，分析查找问题，提出改进措施，形成处置评估报告，处置评估工作可委托第三方开展。</w:t>
      </w:r>
    </w:p>
    <w:p>
      <w:pPr>
        <w:pStyle w:val="4"/>
        <w:keepLines w:val="0"/>
        <w:pageBreakBefore w:val="0"/>
        <w:widowControl w:val="0"/>
        <w:kinsoku/>
        <w:wordWrap/>
        <w:overflowPunct/>
        <w:topLinePunct w:val="0"/>
        <w:autoSpaceDE/>
        <w:autoSpaceDN/>
        <w:bidi w:val="0"/>
        <w:adjustRightInd/>
        <w:snapToGrid/>
        <w:ind w:firstLine="632"/>
        <w:textAlignment w:val="auto"/>
        <w:rPr>
          <w:rFonts w:ascii="楷体" w:hAnsi="楷体" w:cs="楷体"/>
          <w:b w:val="0"/>
          <w:highlight w:val="none"/>
        </w:rPr>
      </w:pPr>
      <w:bookmarkStart w:id="110" w:name="_Toc29959"/>
      <w:bookmarkStart w:id="111" w:name="_Toc6224"/>
      <w:r>
        <w:rPr>
          <w:rFonts w:hint="eastAsia" w:ascii="楷体" w:hAnsi="楷体" w:cs="楷体"/>
          <w:b w:val="0"/>
          <w:highlight w:val="none"/>
        </w:rPr>
        <w:t>（二）事件调查</w:t>
      </w:r>
      <w:bookmarkEnd w:id="110"/>
      <w:bookmarkEnd w:id="111"/>
    </w:p>
    <w:p>
      <w:pPr>
        <w:keepLines w:val="0"/>
        <w:pageBreakBefore w:val="0"/>
        <w:widowControl w:val="0"/>
        <w:kinsoku/>
        <w:wordWrap/>
        <w:overflowPunct/>
        <w:topLinePunct w:val="0"/>
        <w:autoSpaceDE/>
        <w:autoSpaceDN/>
        <w:bidi w:val="0"/>
        <w:adjustRightInd/>
        <w:snapToGrid/>
        <w:ind w:firstLine="632"/>
        <w:textAlignment w:val="auto"/>
        <w:rPr>
          <w:highlight w:val="none"/>
        </w:rPr>
      </w:pPr>
      <w:r>
        <w:rPr>
          <w:rFonts w:hint="eastAsia"/>
          <w:highlight w:val="none"/>
        </w:rPr>
        <w:t>大面积停电事件发生后，根据有关规定成立调查组进行事件调查。各事发地政府、有关部门和单位要认真配合调查工作，客观、公正、准确地查明事件原因、性质、影响范围、经济损失等情况，提出防范、整改措施和处理处置建议。</w:t>
      </w:r>
    </w:p>
    <w:p>
      <w:pPr>
        <w:pStyle w:val="4"/>
        <w:keepLines w:val="0"/>
        <w:pageBreakBefore w:val="0"/>
        <w:widowControl w:val="0"/>
        <w:kinsoku/>
        <w:wordWrap/>
        <w:overflowPunct/>
        <w:topLinePunct w:val="0"/>
        <w:autoSpaceDE/>
        <w:autoSpaceDN/>
        <w:bidi w:val="0"/>
        <w:adjustRightInd/>
        <w:snapToGrid/>
        <w:ind w:firstLine="632"/>
        <w:textAlignment w:val="auto"/>
        <w:rPr>
          <w:rFonts w:ascii="楷体" w:hAnsi="楷体" w:cs="楷体"/>
          <w:b w:val="0"/>
          <w:highlight w:val="none"/>
        </w:rPr>
      </w:pPr>
      <w:bookmarkStart w:id="112" w:name="_Toc2420"/>
      <w:bookmarkStart w:id="113" w:name="_Toc10548"/>
      <w:r>
        <w:rPr>
          <w:rFonts w:hint="eastAsia" w:ascii="楷体" w:hAnsi="楷体" w:cs="楷体"/>
          <w:b w:val="0"/>
          <w:highlight w:val="none"/>
        </w:rPr>
        <w:t>（三）善后处置</w:t>
      </w:r>
      <w:bookmarkEnd w:id="112"/>
      <w:bookmarkEnd w:id="113"/>
    </w:p>
    <w:p>
      <w:pPr>
        <w:keepLines w:val="0"/>
        <w:pageBreakBefore w:val="0"/>
        <w:widowControl w:val="0"/>
        <w:kinsoku/>
        <w:wordWrap/>
        <w:overflowPunct/>
        <w:topLinePunct w:val="0"/>
        <w:autoSpaceDE/>
        <w:autoSpaceDN/>
        <w:bidi w:val="0"/>
        <w:adjustRightInd/>
        <w:snapToGrid/>
        <w:ind w:firstLine="632"/>
        <w:textAlignment w:val="auto"/>
        <w:rPr>
          <w:highlight w:val="none"/>
        </w:rPr>
      </w:pPr>
      <w:r>
        <w:rPr>
          <w:rFonts w:hint="eastAsia"/>
          <w:highlight w:val="none"/>
        </w:rPr>
        <w:t>市电力应急指挥部及各县（市）区级电力应急指挥机构要及时组织制订善后工作方案并组织实施，保险机构要及时开展相关理赔工作，尽快消除大面积停电事件影响。</w:t>
      </w:r>
    </w:p>
    <w:p>
      <w:pPr>
        <w:pStyle w:val="4"/>
        <w:keepLines w:val="0"/>
        <w:pageBreakBefore w:val="0"/>
        <w:widowControl w:val="0"/>
        <w:kinsoku/>
        <w:wordWrap/>
        <w:overflowPunct/>
        <w:topLinePunct w:val="0"/>
        <w:autoSpaceDE/>
        <w:autoSpaceDN/>
        <w:bidi w:val="0"/>
        <w:adjustRightInd/>
        <w:snapToGrid/>
        <w:ind w:firstLine="632"/>
        <w:textAlignment w:val="auto"/>
        <w:rPr>
          <w:rFonts w:ascii="楷体" w:hAnsi="楷体" w:cs="楷体"/>
          <w:b w:val="0"/>
          <w:highlight w:val="none"/>
        </w:rPr>
      </w:pPr>
      <w:bookmarkStart w:id="114" w:name="_Toc29490"/>
      <w:bookmarkStart w:id="115" w:name="_Toc22369"/>
      <w:r>
        <w:rPr>
          <w:rFonts w:hint="eastAsia" w:ascii="楷体" w:hAnsi="楷体" w:cs="楷体"/>
          <w:b w:val="0"/>
          <w:highlight w:val="none"/>
        </w:rPr>
        <w:t>（四）恢复重建</w:t>
      </w:r>
      <w:bookmarkEnd w:id="114"/>
      <w:bookmarkEnd w:id="115"/>
    </w:p>
    <w:p>
      <w:pPr>
        <w:keepLines w:val="0"/>
        <w:pageBreakBefore w:val="0"/>
        <w:widowControl w:val="0"/>
        <w:kinsoku/>
        <w:wordWrap/>
        <w:overflowPunct/>
        <w:topLinePunct w:val="0"/>
        <w:autoSpaceDE/>
        <w:autoSpaceDN/>
        <w:bidi w:val="0"/>
        <w:adjustRightInd/>
        <w:snapToGrid/>
        <w:ind w:firstLine="632"/>
        <w:textAlignment w:val="auto"/>
        <w:rPr>
          <w:highlight w:val="none"/>
        </w:rPr>
      </w:pPr>
      <w:r>
        <w:rPr>
          <w:rFonts w:hint="eastAsia"/>
          <w:highlight w:val="none"/>
        </w:rPr>
        <w:t>大面积停电事件应急响应终止后，需对电网网架结构和设备设施进行修复或重建的，由市电力应急指挥部或事件发生地区县级以上政府根据工作需要制定恢复重建计划，相关电力企业应当根据工作计划做好受损电力系统恢复重建工作。</w:t>
      </w:r>
    </w:p>
    <w:p>
      <w:pPr>
        <w:pStyle w:val="5"/>
        <w:keepLines w:val="0"/>
        <w:pageBreakBefore w:val="0"/>
        <w:widowControl w:val="0"/>
        <w:kinsoku/>
        <w:wordWrap/>
        <w:overflowPunct/>
        <w:topLinePunct w:val="0"/>
        <w:autoSpaceDE/>
        <w:autoSpaceDN/>
        <w:bidi w:val="0"/>
        <w:adjustRightInd/>
        <w:snapToGrid/>
        <w:ind w:firstLine="632"/>
        <w:textAlignment w:val="auto"/>
        <w:rPr>
          <w:b w:val="0"/>
          <w:highlight w:val="none"/>
        </w:rPr>
      </w:pPr>
      <w:bookmarkStart w:id="116" w:name="_Toc27391"/>
      <w:bookmarkStart w:id="117" w:name="_Toc26991"/>
      <w:r>
        <w:rPr>
          <w:rFonts w:ascii="Times New Roman" w:hAnsi="Times New Roman" w:cs="Times New Roman"/>
          <w:b w:val="0"/>
          <w:highlight w:val="none"/>
        </w:rPr>
        <w:t>1.</w:t>
      </w:r>
      <w:r>
        <w:rPr>
          <w:rFonts w:hint="eastAsia"/>
          <w:bCs/>
          <w:highlight w:val="none"/>
        </w:rPr>
        <w:t>确定恢复重建的目标任务</w:t>
      </w:r>
      <w:bookmarkEnd w:id="116"/>
      <w:bookmarkEnd w:id="117"/>
      <w:r>
        <w:rPr>
          <w:rFonts w:hint="eastAsia"/>
          <w:bCs/>
          <w:highlight w:val="none"/>
        </w:rPr>
        <w:t>。</w:t>
      </w:r>
      <w:r>
        <w:rPr>
          <w:rFonts w:hint="eastAsia"/>
          <w:b w:val="0"/>
          <w:highlight w:val="none"/>
        </w:rPr>
        <w:t>以地方发展规划目标为指导，明确重建项目的重点、任务和工作进度。</w:t>
      </w:r>
    </w:p>
    <w:p>
      <w:pPr>
        <w:pStyle w:val="5"/>
        <w:keepLines w:val="0"/>
        <w:pageBreakBefore w:val="0"/>
        <w:widowControl w:val="0"/>
        <w:kinsoku/>
        <w:wordWrap/>
        <w:overflowPunct/>
        <w:topLinePunct w:val="0"/>
        <w:autoSpaceDE/>
        <w:autoSpaceDN/>
        <w:bidi w:val="0"/>
        <w:adjustRightInd/>
        <w:snapToGrid/>
        <w:ind w:firstLine="632"/>
        <w:textAlignment w:val="auto"/>
        <w:rPr>
          <w:b w:val="0"/>
          <w:highlight w:val="none"/>
        </w:rPr>
      </w:pPr>
      <w:bookmarkStart w:id="118" w:name="_Toc21409"/>
      <w:bookmarkStart w:id="119" w:name="_Toc17663"/>
      <w:r>
        <w:rPr>
          <w:rFonts w:hint="eastAsia" w:ascii="Times New Roman" w:hAnsi="Times New Roman" w:cs="Times New Roman"/>
          <w:b w:val="0"/>
          <w:highlight w:val="none"/>
        </w:rPr>
        <w:t>2.</w:t>
      </w:r>
      <w:r>
        <w:rPr>
          <w:rFonts w:hint="eastAsia"/>
          <w:bCs/>
          <w:highlight w:val="none"/>
        </w:rPr>
        <w:t>强化措施保障及政策扶持</w:t>
      </w:r>
      <w:bookmarkEnd w:id="118"/>
      <w:bookmarkEnd w:id="119"/>
      <w:r>
        <w:rPr>
          <w:rFonts w:hint="eastAsia"/>
          <w:bCs/>
          <w:highlight w:val="none"/>
        </w:rPr>
        <w:t>。</w:t>
      </w:r>
      <w:r>
        <w:rPr>
          <w:rFonts w:hint="eastAsia"/>
          <w:b w:val="0"/>
          <w:highlight w:val="none"/>
        </w:rPr>
        <w:t>电力企业根据需要成立恢复重建领导小组，统一指挥、协调电力恢复重建工作；电力灾后重建项目应多方筹措资金，积极争取国家政策支持，争取专项资金和地方财政补助；各有关部门对电力灾后重建项目所涉及的审批工作，开辟绿色通道，加强用地用林等要素保障。</w:t>
      </w:r>
    </w:p>
    <w:p>
      <w:pPr>
        <w:pStyle w:val="5"/>
        <w:keepLines w:val="0"/>
        <w:pageBreakBefore w:val="0"/>
        <w:widowControl w:val="0"/>
        <w:kinsoku/>
        <w:wordWrap/>
        <w:overflowPunct/>
        <w:topLinePunct w:val="0"/>
        <w:autoSpaceDE/>
        <w:autoSpaceDN/>
        <w:bidi w:val="0"/>
        <w:adjustRightInd/>
        <w:snapToGrid/>
        <w:ind w:firstLine="632"/>
        <w:textAlignment w:val="auto"/>
        <w:rPr>
          <w:b w:val="0"/>
          <w:highlight w:val="none"/>
        </w:rPr>
      </w:pPr>
      <w:bookmarkStart w:id="120" w:name="_Toc30074"/>
      <w:bookmarkStart w:id="121" w:name="_Toc21640"/>
      <w:r>
        <w:rPr>
          <w:rFonts w:hint="eastAsia" w:ascii="Times New Roman" w:hAnsi="Times New Roman" w:cs="Times New Roman"/>
          <w:b w:val="0"/>
          <w:highlight w:val="none"/>
        </w:rPr>
        <w:t>3.</w:t>
      </w:r>
      <w:r>
        <w:rPr>
          <w:rFonts w:hint="eastAsia"/>
          <w:bCs/>
          <w:highlight w:val="none"/>
        </w:rPr>
        <w:t>明确恢复重建的标准</w:t>
      </w:r>
      <w:bookmarkEnd w:id="120"/>
      <w:bookmarkEnd w:id="121"/>
      <w:r>
        <w:rPr>
          <w:rFonts w:hint="eastAsia"/>
          <w:bCs/>
          <w:highlight w:val="none"/>
        </w:rPr>
        <w:t>。</w:t>
      </w:r>
      <w:r>
        <w:rPr>
          <w:rFonts w:hint="eastAsia"/>
          <w:b w:val="0"/>
          <w:highlight w:val="none"/>
        </w:rPr>
        <w:t>按照电力规划设计导则结合区域地理环境和自然灾害情况，执行差异化规划设计及反事故措施，远近结合，适度超前实施重建。</w:t>
      </w:r>
    </w:p>
    <w:p>
      <w:pPr>
        <w:pStyle w:val="4"/>
        <w:keepLines w:val="0"/>
        <w:pageBreakBefore w:val="0"/>
        <w:widowControl w:val="0"/>
        <w:kinsoku/>
        <w:wordWrap/>
        <w:overflowPunct/>
        <w:topLinePunct w:val="0"/>
        <w:autoSpaceDE/>
        <w:autoSpaceDN/>
        <w:bidi w:val="0"/>
        <w:adjustRightInd/>
        <w:snapToGrid/>
        <w:ind w:firstLine="632"/>
        <w:textAlignment w:val="auto"/>
        <w:rPr>
          <w:rFonts w:ascii="楷体" w:hAnsi="楷体" w:cs="楷体"/>
          <w:b w:val="0"/>
          <w:highlight w:val="none"/>
        </w:rPr>
      </w:pPr>
      <w:bookmarkStart w:id="122" w:name="_Toc27177"/>
      <w:bookmarkStart w:id="123" w:name="_Toc2031"/>
      <w:r>
        <w:rPr>
          <w:rFonts w:hint="eastAsia" w:ascii="楷体" w:hAnsi="楷体" w:cs="楷体"/>
          <w:b w:val="0"/>
          <w:highlight w:val="none"/>
        </w:rPr>
        <w:t>（五）改进措施</w:t>
      </w:r>
      <w:bookmarkEnd w:id="122"/>
      <w:bookmarkEnd w:id="123"/>
    </w:p>
    <w:p>
      <w:pPr>
        <w:keepLines w:val="0"/>
        <w:pageBreakBefore w:val="0"/>
        <w:widowControl w:val="0"/>
        <w:kinsoku/>
        <w:wordWrap/>
        <w:overflowPunct/>
        <w:topLinePunct w:val="0"/>
        <w:autoSpaceDE/>
        <w:autoSpaceDN/>
        <w:bidi w:val="0"/>
        <w:adjustRightInd/>
        <w:snapToGrid/>
        <w:ind w:firstLine="632"/>
        <w:textAlignment w:val="auto"/>
        <w:rPr>
          <w:highlight w:val="none"/>
        </w:rPr>
      </w:pPr>
      <w:r>
        <w:rPr>
          <w:rFonts w:hint="eastAsia"/>
          <w:highlight w:val="none"/>
        </w:rPr>
        <w:t>大面积停电事件处置之后，电力企业要及时组织生产、运行、科研等部门联合攻关，研究事故发生机理，分析事故发展过程，吸取事故教训，提出改进的措施建议，进一步完善电力应急预案。事发地政府、有关部门要及时总结社会应急救援工作的经验教训，进一步改进和完善社会应急救援、事故抢险与应急处置体系。</w:t>
      </w:r>
    </w:p>
    <w:p>
      <w:pPr>
        <w:pStyle w:val="3"/>
        <w:keepLines w:val="0"/>
        <w:pageBreakBefore w:val="0"/>
        <w:widowControl w:val="0"/>
        <w:kinsoku/>
        <w:wordWrap/>
        <w:overflowPunct/>
        <w:topLinePunct w:val="0"/>
        <w:autoSpaceDE/>
        <w:autoSpaceDN/>
        <w:bidi w:val="0"/>
        <w:adjustRightInd/>
        <w:snapToGrid/>
        <w:ind w:firstLine="632"/>
        <w:jc w:val="both"/>
        <w:textAlignment w:val="auto"/>
        <w:rPr>
          <w:rFonts w:ascii="黑体" w:hAnsi="黑体" w:cs="黑体"/>
          <w:b w:val="0"/>
          <w:bCs w:val="0"/>
          <w:highlight w:val="none"/>
        </w:rPr>
      </w:pPr>
      <w:bookmarkStart w:id="124" w:name="_Toc11688"/>
      <w:bookmarkStart w:id="125" w:name="_Toc29981"/>
      <w:r>
        <w:rPr>
          <w:rFonts w:hint="eastAsia" w:ascii="黑体" w:hAnsi="黑体" w:cs="黑体"/>
          <w:b w:val="0"/>
          <w:bCs w:val="0"/>
          <w:highlight w:val="none"/>
        </w:rPr>
        <w:t>六、保障措施</w:t>
      </w:r>
      <w:bookmarkEnd w:id="124"/>
      <w:bookmarkEnd w:id="125"/>
    </w:p>
    <w:p>
      <w:pPr>
        <w:pStyle w:val="4"/>
        <w:keepLines w:val="0"/>
        <w:pageBreakBefore w:val="0"/>
        <w:widowControl w:val="0"/>
        <w:kinsoku/>
        <w:wordWrap/>
        <w:overflowPunct/>
        <w:topLinePunct w:val="0"/>
        <w:autoSpaceDE/>
        <w:autoSpaceDN/>
        <w:bidi w:val="0"/>
        <w:adjustRightInd/>
        <w:snapToGrid/>
        <w:ind w:firstLine="632"/>
        <w:textAlignment w:val="auto"/>
        <w:rPr>
          <w:rFonts w:ascii="楷体" w:hAnsi="楷体" w:cs="楷体"/>
          <w:b w:val="0"/>
          <w:highlight w:val="none"/>
        </w:rPr>
      </w:pPr>
      <w:bookmarkStart w:id="126" w:name="_Toc29227"/>
      <w:bookmarkStart w:id="127" w:name="_Toc2786"/>
      <w:r>
        <w:rPr>
          <w:rFonts w:hint="eastAsia" w:ascii="楷体" w:hAnsi="楷体" w:cs="楷体"/>
          <w:b w:val="0"/>
          <w:highlight w:val="none"/>
        </w:rPr>
        <w:t>（一）队伍保障</w:t>
      </w:r>
      <w:bookmarkEnd w:id="126"/>
      <w:bookmarkEnd w:id="127"/>
    </w:p>
    <w:p>
      <w:pPr>
        <w:keepLines w:val="0"/>
        <w:pageBreakBefore w:val="0"/>
        <w:widowControl w:val="0"/>
        <w:kinsoku/>
        <w:wordWrap/>
        <w:overflowPunct/>
        <w:topLinePunct w:val="0"/>
        <w:autoSpaceDE/>
        <w:autoSpaceDN/>
        <w:bidi w:val="0"/>
        <w:adjustRightInd/>
        <w:snapToGrid/>
        <w:ind w:firstLine="632"/>
        <w:textAlignment w:val="auto"/>
        <w:rPr>
          <w:highlight w:val="none"/>
        </w:rPr>
      </w:pPr>
      <w:r>
        <w:rPr>
          <w:rFonts w:hint="eastAsia"/>
          <w:highlight w:val="none"/>
        </w:rPr>
        <w:t>各级政府应加强电力应急管理队伍建设，配备专职管理人员；电力企业应建立健全电力抢修应急专业队伍，加强设备维护和应急抢修技能方面的人员培训，定期开展应急演练，提高应急救援；武警部队、公安、消防救援等要做好应急力量支援保障。</w:t>
      </w:r>
    </w:p>
    <w:p>
      <w:pPr>
        <w:pStyle w:val="4"/>
        <w:keepLines w:val="0"/>
        <w:pageBreakBefore w:val="0"/>
        <w:widowControl w:val="0"/>
        <w:kinsoku/>
        <w:wordWrap/>
        <w:overflowPunct/>
        <w:topLinePunct w:val="0"/>
        <w:autoSpaceDE/>
        <w:autoSpaceDN/>
        <w:bidi w:val="0"/>
        <w:adjustRightInd/>
        <w:snapToGrid/>
        <w:ind w:firstLine="632"/>
        <w:textAlignment w:val="auto"/>
        <w:rPr>
          <w:rFonts w:ascii="楷体" w:hAnsi="楷体" w:cs="楷体"/>
          <w:b w:val="0"/>
          <w:highlight w:val="none"/>
        </w:rPr>
      </w:pPr>
      <w:bookmarkStart w:id="128" w:name="_Toc7538"/>
      <w:bookmarkStart w:id="129" w:name="_Toc22127"/>
      <w:r>
        <w:rPr>
          <w:rFonts w:hint="eastAsia" w:ascii="楷体" w:hAnsi="楷体" w:cs="楷体"/>
          <w:b w:val="0"/>
          <w:highlight w:val="none"/>
        </w:rPr>
        <w:t>（二）装备物资保障</w:t>
      </w:r>
      <w:bookmarkEnd w:id="128"/>
      <w:bookmarkEnd w:id="129"/>
    </w:p>
    <w:p>
      <w:pPr>
        <w:keepLines w:val="0"/>
        <w:pageBreakBefore w:val="0"/>
        <w:widowControl w:val="0"/>
        <w:kinsoku/>
        <w:wordWrap/>
        <w:overflowPunct/>
        <w:topLinePunct w:val="0"/>
        <w:autoSpaceDE/>
        <w:autoSpaceDN/>
        <w:bidi w:val="0"/>
        <w:adjustRightInd/>
        <w:snapToGrid/>
        <w:ind w:firstLine="632"/>
        <w:textAlignment w:val="auto"/>
        <w:rPr>
          <w:highlight w:val="none"/>
        </w:rPr>
      </w:pPr>
      <w:r>
        <w:rPr>
          <w:rFonts w:hint="eastAsia"/>
          <w:highlight w:val="none"/>
        </w:rPr>
        <w:t>有关部门、电力企业及重要电力用户在积极利用现有装备的基础上，根据应急工作需要，建立和完善救援物资储备库以及资料数据库和救援物资调用制度，配备必要的应急救援装备及物资。完善相关保安电源功能，保证在事件发生时能及时启动。各应急指挥机构应掌握本辖区内应急救援装备及物资储备情况。市电力应急指挥部在全市范围内统一调度使用应急装备及物资，各县（市）区级电力应急指挥机构对本辖区内各单位的应急救援装备及物资实行统一调度，保障支援大面积停电事件应对工作需要。</w:t>
      </w:r>
    </w:p>
    <w:p>
      <w:pPr>
        <w:pStyle w:val="4"/>
        <w:keepLines w:val="0"/>
        <w:pageBreakBefore w:val="0"/>
        <w:widowControl w:val="0"/>
        <w:kinsoku/>
        <w:wordWrap/>
        <w:overflowPunct/>
        <w:topLinePunct w:val="0"/>
        <w:autoSpaceDE/>
        <w:autoSpaceDN/>
        <w:bidi w:val="0"/>
        <w:adjustRightInd/>
        <w:snapToGrid/>
        <w:ind w:firstLine="632"/>
        <w:textAlignment w:val="auto"/>
        <w:rPr>
          <w:rFonts w:ascii="楷体" w:hAnsi="楷体" w:cs="楷体"/>
          <w:b w:val="0"/>
          <w:highlight w:val="none"/>
        </w:rPr>
      </w:pPr>
      <w:bookmarkStart w:id="130" w:name="_Toc14284"/>
      <w:bookmarkStart w:id="131" w:name="_Toc26300"/>
      <w:r>
        <w:rPr>
          <w:rFonts w:hint="eastAsia" w:ascii="楷体" w:hAnsi="楷体" w:cs="楷体"/>
          <w:b w:val="0"/>
          <w:highlight w:val="none"/>
        </w:rPr>
        <w:t>（三）通信、交通与运输保障</w:t>
      </w:r>
      <w:bookmarkEnd w:id="130"/>
      <w:bookmarkEnd w:id="131"/>
    </w:p>
    <w:p>
      <w:pPr>
        <w:keepLines w:val="0"/>
        <w:pageBreakBefore w:val="0"/>
        <w:widowControl w:val="0"/>
        <w:kinsoku/>
        <w:wordWrap/>
        <w:overflowPunct/>
        <w:topLinePunct w:val="0"/>
        <w:autoSpaceDE/>
        <w:autoSpaceDN/>
        <w:bidi w:val="0"/>
        <w:adjustRightInd/>
        <w:snapToGrid/>
        <w:ind w:firstLine="632"/>
        <w:textAlignment w:val="auto"/>
        <w:rPr>
          <w:highlight w:val="none"/>
        </w:rPr>
      </w:pPr>
      <w:r>
        <w:rPr>
          <w:rFonts w:hint="eastAsia"/>
          <w:highlight w:val="none"/>
        </w:rPr>
        <w:t>县（市）区级人民政府及通信主管部门要建立健全大面积停电事件应急通信保障体系，形成可靠的通信保障能力，确保应急期间通信联络和信息传递需要。交通运输、铁路等部门要健全紧急运输保障体系，保障应急响应所需人员、物资、装备、器材等的运输；公安交警部门要加强交通应急管理，保障应急救援车辆优先通行；根据全面推行公务用车制度改革有关规定，有关单位应配备必要的应急车辆，保障应急救援需要。</w:t>
      </w:r>
    </w:p>
    <w:p>
      <w:pPr>
        <w:pStyle w:val="4"/>
        <w:keepLines w:val="0"/>
        <w:pageBreakBefore w:val="0"/>
        <w:widowControl w:val="0"/>
        <w:kinsoku/>
        <w:wordWrap/>
        <w:overflowPunct/>
        <w:topLinePunct w:val="0"/>
        <w:autoSpaceDE/>
        <w:autoSpaceDN/>
        <w:bidi w:val="0"/>
        <w:adjustRightInd/>
        <w:snapToGrid/>
        <w:ind w:firstLine="632"/>
        <w:textAlignment w:val="auto"/>
        <w:rPr>
          <w:rFonts w:ascii="楷体" w:hAnsi="楷体" w:cs="楷体"/>
          <w:b w:val="0"/>
          <w:highlight w:val="none"/>
        </w:rPr>
      </w:pPr>
      <w:bookmarkStart w:id="132" w:name="_Toc18413"/>
      <w:bookmarkStart w:id="133" w:name="_Toc18653"/>
      <w:r>
        <w:rPr>
          <w:rFonts w:hint="eastAsia" w:ascii="楷体" w:hAnsi="楷体" w:cs="楷体"/>
          <w:b w:val="0"/>
          <w:highlight w:val="none"/>
        </w:rPr>
        <w:t>（四）技术保障</w:t>
      </w:r>
      <w:bookmarkEnd w:id="132"/>
      <w:bookmarkEnd w:id="133"/>
    </w:p>
    <w:p>
      <w:pPr>
        <w:keepLines w:val="0"/>
        <w:pageBreakBefore w:val="0"/>
        <w:widowControl w:val="0"/>
        <w:kinsoku/>
        <w:wordWrap/>
        <w:overflowPunct/>
        <w:topLinePunct w:val="0"/>
        <w:autoSpaceDE/>
        <w:autoSpaceDN/>
        <w:bidi w:val="0"/>
        <w:adjustRightInd/>
        <w:snapToGrid/>
        <w:ind w:firstLine="632"/>
        <w:textAlignment w:val="auto"/>
        <w:rPr>
          <w:highlight w:val="none"/>
        </w:rPr>
      </w:pPr>
      <w:r>
        <w:rPr>
          <w:rFonts w:hint="eastAsia"/>
          <w:highlight w:val="none"/>
        </w:rPr>
        <w:t>市水利局、市</w:t>
      </w:r>
      <w:r>
        <w:rPr>
          <w:rFonts w:hint="eastAsia"/>
          <w:highlight w:val="none"/>
          <w:lang w:eastAsia="zh-CN"/>
        </w:rPr>
        <w:t>自然资源</w:t>
      </w:r>
      <w:r>
        <w:rPr>
          <w:rFonts w:hint="eastAsia"/>
          <w:highlight w:val="none"/>
        </w:rPr>
        <w:t>局、市气象局、市</w:t>
      </w:r>
      <w:r>
        <w:rPr>
          <w:rFonts w:hint="eastAsia"/>
          <w:highlight w:val="none"/>
          <w:lang w:eastAsia="zh-CN"/>
        </w:rPr>
        <w:t>应急</w:t>
      </w:r>
      <w:r>
        <w:rPr>
          <w:rFonts w:hint="eastAsia"/>
          <w:highlight w:val="none"/>
        </w:rPr>
        <w:t>局等要提供相关灾害预警信息，为电力日常监测预警及电力应急抢险提供必要的水文、地质、气象等技术支撑服务。电力企业要加强大面积停电事件应对和监测先进技术、装备的研发，制定电力应急技术标准，加强电网、电厂安全应急信息化平台建设。</w:t>
      </w:r>
    </w:p>
    <w:p>
      <w:pPr>
        <w:pStyle w:val="4"/>
        <w:keepLines w:val="0"/>
        <w:pageBreakBefore w:val="0"/>
        <w:widowControl w:val="0"/>
        <w:kinsoku/>
        <w:wordWrap/>
        <w:overflowPunct/>
        <w:topLinePunct w:val="0"/>
        <w:autoSpaceDE/>
        <w:autoSpaceDN/>
        <w:bidi w:val="0"/>
        <w:adjustRightInd/>
        <w:snapToGrid/>
        <w:ind w:firstLine="632"/>
        <w:textAlignment w:val="auto"/>
        <w:rPr>
          <w:rFonts w:ascii="楷体" w:hAnsi="楷体" w:cs="楷体"/>
          <w:b w:val="0"/>
          <w:highlight w:val="none"/>
        </w:rPr>
      </w:pPr>
      <w:bookmarkStart w:id="134" w:name="_Toc26032"/>
      <w:bookmarkStart w:id="135" w:name="_Toc7887"/>
      <w:r>
        <w:rPr>
          <w:rFonts w:hint="eastAsia" w:ascii="楷体" w:hAnsi="楷体" w:cs="楷体"/>
          <w:b w:val="0"/>
          <w:highlight w:val="none"/>
        </w:rPr>
        <w:t>（五）应急电源保障</w:t>
      </w:r>
      <w:bookmarkEnd w:id="134"/>
      <w:bookmarkEnd w:id="135"/>
    </w:p>
    <w:p>
      <w:pPr>
        <w:keepLines w:val="0"/>
        <w:pageBreakBefore w:val="0"/>
        <w:widowControl w:val="0"/>
        <w:kinsoku/>
        <w:wordWrap/>
        <w:overflowPunct/>
        <w:topLinePunct w:val="0"/>
        <w:autoSpaceDE/>
        <w:autoSpaceDN/>
        <w:bidi w:val="0"/>
        <w:adjustRightInd/>
        <w:snapToGrid/>
        <w:ind w:firstLine="632"/>
        <w:textAlignment w:val="auto"/>
        <w:rPr>
          <w:highlight w:val="none"/>
        </w:rPr>
      </w:pPr>
      <w:r>
        <w:rPr>
          <w:rFonts w:hint="eastAsia"/>
          <w:highlight w:val="none"/>
        </w:rPr>
        <w:t>提高电力系统快速恢复能力，加强电网“黑启动”能力建设。国网</w:t>
      </w:r>
      <w:r>
        <w:rPr>
          <w:rFonts w:hint="eastAsia"/>
          <w:highlight w:val="none"/>
          <w:lang w:eastAsia="zh-CN"/>
        </w:rPr>
        <w:t>通化</w:t>
      </w:r>
      <w:r>
        <w:rPr>
          <w:rFonts w:hint="eastAsia"/>
          <w:highlight w:val="none"/>
        </w:rPr>
        <w:t>供电公司应充分考虑电源规划布局，配合国家或省能源部门保障本地区“黑启动”电源，配备适量应急发电装备，必要时提供应急电源支援。重要电力用户应按照国家有关技术要求配置应急电源，并加强维护和管理，确保应急状态下能够投入运行。</w:t>
      </w:r>
    </w:p>
    <w:p>
      <w:pPr>
        <w:pStyle w:val="4"/>
        <w:keepLines w:val="0"/>
        <w:pageBreakBefore w:val="0"/>
        <w:widowControl w:val="0"/>
        <w:kinsoku/>
        <w:wordWrap/>
        <w:overflowPunct/>
        <w:topLinePunct w:val="0"/>
        <w:autoSpaceDE/>
        <w:autoSpaceDN/>
        <w:bidi w:val="0"/>
        <w:adjustRightInd/>
        <w:snapToGrid/>
        <w:ind w:firstLine="632"/>
        <w:textAlignment w:val="auto"/>
        <w:rPr>
          <w:rFonts w:ascii="楷体" w:hAnsi="楷体" w:cs="楷体"/>
          <w:b w:val="0"/>
          <w:highlight w:val="none"/>
        </w:rPr>
      </w:pPr>
      <w:bookmarkStart w:id="136" w:name="_Toc22659"/>
      <w:bookmarkStart w:id="137" w:name="_Toc3584"/>
      <w:r>
        <w:rPr>
          <w:rFonts w:hint="eastAsia" w:ascii="楷体" w:hAnsi="楷体" w:cs="楷体"/>
          <w:b w:val="0"/>
          <w:highlight w:val="none"/>
        </w:rPr>
        <w:t>（六）资金保障</w:t>
      </w:r>
      <w:bookmarkEnd w:id="136"/>
      <w:bookmarkEnd w:id="137"/>
    </w:p>
    <w:p>
      <w:pPr>
        <w:keepLines w:val="0"/>
        <w:pageBreakBefore w:val="0"/>
        <w:widowControl w:val="0"/>
        <w:kinsoku/>
        <w:wordWrap/>
        <w:overflowPunct/>
        <w:topLinePunct w:val="0"/>
        <w:autoSpaceDE/>
        <w:autoSpaceDN/>
        <w:bidi w:val="0"/>
        <w:adjustRightInd/>
        <w:snapToGrid/>
        <w:ind w:firstLine="632"/>
        <w:textAlignment w:val="auto"/>
        <w:rPr>
          <w:highlight w:val="none"/>
        </w:rPr>
      </w:pPr>
      <w:r>
        <w:rPr>
          <w:rFonts w:hint="eastAsia"/>
          <w:highlight w:val="none"/>
        </w:rPr>
        <w:t>市财政局等有关部门、各县（市）区人民政府及</w:t>
      </w:r>
      <w:r>
        <w:rPr>
          <w:rFonts w:hint="eastAsia"/>
          <w:highlight w:val="none"/>
          <w:lang w:eastAsia="zh-CN"/>
        </w:rPr>
        <w:t>开发区管委会、</w:t>
      </w:r>
      <w:r>
        <w:rPr>
          <w:rFonts w:hint="eastAsia"/>
          <w:highlight w:val="none"/>
        </w:rPr>
        <w:t>各相关电力企业应按照有关规定，对大面积停电事件处置工作提供必要的资金保障。</w:t>
      </w:r>
    </w:p>
    <w:p>
      <w:pPr>
        <w:pStyle w:val="3"/>
        <w:keepLines w:val="0"/>
        <w:pageBreakBefore w:val="0"/>
        <w:widowControl w:val="0"/>
        <w:kinsoku/>
        <w:wordWrap/>
        <w:overflowPunct/>
        <w:topLinePunct w:val="0"/>
        <w:autoSpaceDE/>
        <w:autoSpaceDN/>
        <w:bidi w:val="0"/>
        <w:adjustRightInd/>
        <w:snapToGrid/>
        <w:ind w:firstLine="632"/>
        <w:jc w:val="both"/>
        <w:textAlignment w:val="auto"/>
        <w:rPr>
          <w:rFonts w:ascii="黑体" w:hAnsi="黑体" w:cs="黑体"/>
          <w:b w:val="0"/>
          <w:bCs w:val="0"/>
          <w:highlight w:val="none"/>
        </w:rPr>
      </w:pPr>
      <w:bookmarkStart w:id="138" w:name="_Toc13258"/>
      <w:bookmarkStart w:id="139" w:name="_Toc32611"/>
      <w:r>
        <w:rPr>
          <w:rFonts w:hint="eastAsia" w:ascii="黑体" w:hAnsi="黑体" w:cs="黑体"/>
          <w:b w:val="0"/>
          <w:bCs w:val="0"/>
          <w:highlight w:val="none"/>
        </w:rPr>
        <w:t>七、宣教培训和演练</w:t>
      </w:r>
      <w:bookmarkEnd w:id="138"/>
      <w:bookmarkEnd w:id="139"/>
    </w:p>
    <w:p>
      <w:pPr>
        <w:pStyle w:val="4"/>
        <w:keepLines w:val="0"/>
        <w:pageBreakBefore w:val="0"/>
        <w:widowControl w:val="0"/>
        <w:kinsoku/>
        <w:wordWrap/>
        <w:overflowPunct/>
        <w:topLinePunct w:val="0"/>
        <w:autoSpaceDE/>
        <w:autoSpaceDN/>
        <w:bidi w:val="0"/>
        <w:adjustRightInd/>
        <w:snapToGrid/>
        <w:ind w:firstLine="632"/>
        <w:textAlignment w:val="auto"/>
        <w:rPr>
          <w:rFonts w:ascii="楷体" w:hAnsi="楷体" w:cs="楷体"/>
          <w:b w:val="0"/>
          <w:highlight w:val="none"/>
        </w:rPr>
      </w:pPr>
      <w:bookmarkStart w:id="140" w:name="_Toc32383"/>
      <w:bookmarkStart w:id="141" w:name="_Toc30770"/>
      <w:r>
        <w:rPr>
          <w:rFonts w:hint="eastAsia" w:ascii="楷体" w:hAnsi="楷体" w:cs="楷体"/>
          <w:b w:val="0"/>
          <w:highlight w:val="none"/>
        </w:rPr>
        <w:t>（一）宣传教育</w:t>
      </w:r>
      <w:bookmarkEnd w:id="140"/>
      <w:bookmarkEnd w:id="141"/>
    </w:p>
    <w:p>
      <w:pPr>
        <w:keepLines w:val="0"/>
        <w:pageBreakBefore w:val="0"/>
        <w:widowControl w:val="0"/>
        <w:kinsoku/>
        <w:wordWrap/>
        <w:overflowPunct/>
        <w:topLinePunct w:val="0"/>
        <w:autoSpaceDE/>
        <w:autoSpaceDN/>
        <w:bidi w:val="0"/>
        <w:adjustRightInd/>
        <w:snapToGrid/>
        <w:ind w:firstLine="632"/>
        <w:textAlignment w:val="auto"/>
        <w:rPr>
          <w:highlight w:val="none"/>
        </w:rPr>
      </w:pPr>
      <w:r>
        <w:rPr>
          <w:rFonts w:hint="eastAsia"/>
          <w:highlight w:val="none"/>
        </w:rPr>
        <w:t>市电力应急指挥部、各县（市）区电力应急指挥机构、电力企业、重要电力用户等单位要充分利用各种媒体，加大对大面积停电事件应急知识的宣传教育工作，扎实推进安全宣传进企业、进农村、进社区、进学校、进家庭，牢固树立安全发展理念，加强公众安全教育，进一步提高全社会整体安全水平，不断提高公众应急意识和自救互救能力。加大保护电力设施和严厉打击破坏电力设施的宣传力度，增强公众保护电力设施意识。</w:t>
      </w:r>
    </w:p>
    <w:p>
      <w:pPr>
        <w:pStyle w:val="4"/>
        <w:keepLines w:val="0"/>
        <w:pageBreakBefore w:val="0"/>
        <w:widowControl w:val="0"/>
        <w:kinsoku/>
        <w:wordWrap/>
        <w:overflowPunct/>
        <w:topLinePunct w:val="0"/>
        <w:autoSpaceDE/>
        <w:autoSpaceDN/>
        <w:bidi w:val="0"/>
        <w:adjustRightInd/>
        <w:snapToGrid/>
        <w:ind w:firstLine="632"/>
        <w:textAlignment w:val="auto"/>
        <w:rPr>
          <w:rFonts w:ascii="楷体" w:hAnsi="楷体" w:cs="楷体"/>
          <w:b w:val="0"/>
          <w:highlight w:val="none"/>
        </w:rPr>
      </w:pPr>
      <w:bookmarkStart w:id="142" w:name="_Toc17162"/>
      <w:bookmarkStart w:id="143" w:name="_Toc26543"/>
      <w:r>
        <w:rPr>
          <w:rFonts w:hint="eastAsia" w:ascii="楷体" w:hAnsi="楷体" w:cs="楷体"/>
          <w:b w:val="0"/>
          <w:highlight w:val="none"/>
        </w:rPr>
        <w:t>（二）培训</w:t>
      </w:r>
      <w:bookmarkEnd w:id="142"/>
      <w:bookmarkEnd w:id="143"/>
    </w:p>
    <w:p>
      <w:pPr>
        <w:keepLines w:val="0"/>
        <w:pageBreakBefore w:val="0"/>
        <w:widowControl w:val="0"/>
        <w:kinsoku/>
        <w:wordWrap/>
        <w:overflowPunct/>
        <w:topLinePunct w:val="0"/>
        <w:autoSpaceDE/>
        <w:autoSpaceDN/>
        <w:bidi w:val="0"/>
        <w:adjustRightInd/>
        <w:snapToGrid/>
        <w:ind w:firstLine="632"/>
        <w:textAlignment w:val="auto"/>
        <w:rPr>
          <w:highlight w:val="none"/>
        </w:rPr>
      </w:pPr>
      <w:r>
        <w:rPr>
          <w:rFonts w:hint="eastAsia"/>
          <w:highlight w:val="none"/>
        </w:rPr>
        <w:t>各级应急指挥机构成员单位、电力企业和重要电力用户应定期组织大面积停电应急业务培训。电力企业和重要电力用户还应加强大面积停电应急处置和救援技能培训，开展技术交流和研讨，提高应急救援业务知识水平。</w:t>
      </w:r>
    </w:p>
    <w:p>
      <w:pPr>
        <w:pStyle w:val="4"/>
        <w:keepLines w:val="0"/>
        <w:pageBreakBefore w:val="0"/>
        <w:widowControl w:val="0"/>
        <w:kinsoku/>
        <w:wordWrap/>
        <w:overflowPunct/>
        <w:topLinePunct w:val="0"/>
        <w:autoSpaceDE/>
        <w:autoSpaceDN/>
        <w:bidi w:val="0"/>
        <w:adjustRightInd/>
        <w:snapToGrid/>
        <w:ind w:firstLine="632"/>
        <w:textAlignment w:val="auto"/>
        <w:rPr>
          <w:rFonts w:ascii="楷体" w:hAnsi="楷体" w:cs="楷体"/>
          <w:b w:val="0"/>
          <w:highlight w:val="none"/>
        </w:rPr>
      </w:pPr>
      <w:bookmarkStart w:id="144" w:name="_Toc11815"/>
      <w:bookmarkStart w:id="145" w:name="_Toc29538"/>
      <w:r>
        <w:rPr>
          <w:rFonts w:hint="eastAsia" w:ascii="楷体" w:hAnsi="楷体" w:cs="楷体"/>
          <w:b w:val="0"/>
          <w:highlight w:val="none"/>
        </w:rPr>
        <w:t>（三）预案演练</w:t>
      </w:r>
      <w:bookmarkEnd w:id="144"/>
      <w:bookmarkEnd w:id="145"/>
    </w:p>
    <w:p>
      <w:pPr>
        <w:keepLines w:val="0"/>
        <w:pageBreakBefore w:val="0"/>
        <w:widowControl w:val="0"/>
        <w:kinsoku/>
        <w:wordWrap/>
        <w:overflowPunct/>
        <w:topLinePunct w:val="0"/>
        <w:autoSpaceDE/>
        <w:autoSpaceDN/>
        <w:bidi w:val="0"/>
        <w:adjustRightInd/>
        <w:snapToGrid/>
        <w:ind w:firstLine="632"/>
        <w:textAlignment w:val="auto"/>
        <w:rPr>
          <w:highlight w:val="none"/>
        </w:rPr>
      </w:pPr>
      <w:r>
        <w:rPr>
          <w:rFonts w:hint="eastAsia"/>
          <w:highlight w:val="none"/>
        </w:rPr>
        <w:t>各级应急指挥机构应根据实际情况，</w:t>
      </w:r>
      <w:r>
        <w:rPr>
          <w:rFonts w:hint="eastAsia"/>
          <w:highlight w:val="none"/>
          <w:lang w:eastAsia="zh-CN"/>
        </w:rPr>
        <w:t>定期</w:t>
      </w:r>
      <w:r>
        <w:rPr>
          <w:rFonts w:hint="eastAsia"/>
          <w:highlight w:val="none"/>
        </w:rPr>
        <w:t>组织大面积停电事件应急联合演练，建立完善政府有关应急联动部门单位、电力企业、重要电力用户以及社会公众之间的应急协同联动机制，提高应急处置能力。各电力企业、重要电力用户应根据生产实际，定期组织开展本单位的内部演练。预案的演练可采取桌面推演、现场实战或桌面+实战相结合的形式开展，演练的方式可采取有脚本演练或无脚本演练。根据预案演练计划，成立演练领导小组，根据职责分工成立策划导调组、技术支持组、后勤保障组等，演练领导小组负责组织召开会议协调工作分工，组织编写演练方案、演练脚本等资料，明确演练范围、事件级别、参与部门、职责分工、处置程序、注意事项等。</w:t>
      </w:r>
    </w:p>
    <w:p>
      <w:pPr>
        <w:keepLines w:val="0"/>
        <w:pageBreakBefore w:val="0"/>
        <w:widowControl w:val="0"/>
        <w:kinsoku/>
        <w:wordWrap/>
        <w:overflowPunct/>
        <w:topLinePunct w:val="0"/>
        <w:autoSpaceDE/>
        <w:autoSpaceDN/>
        <w:bidi w:val="0"/>
        <w:adjustRightInd/>
        <w:snapToGrid/>
        <w:ind w:firstLine="632"/>
        <w:textAlignment w:val="auto"/>
        <w:rPr>
          <w:highlight w:val="none"/>
        </w:rPr>
      </w:pPr>
      <w:r>
        <w:rPr>
          <w:rFonts w:hint="eastAsia"/>
          <w:highlight w:val="none"/>
        </w:rPr>
        <w:t>本预案的应急处置流程参照附件</w:t>
      </w:r>
      <w:r>
        <w:rPr>
          <w:rFonts w:hint="eastAsia" w:ascii="Times New Roman" w:hAnsi="Times New Roman" w:cs="Times New Roman"/>
          <w:highlight w:val="none"/>
          <w:lang w:val="en-US" w:eastAsia="zh-CN"/>
        </w:rPr>
        <w:t>4</w:t>
      </w:r>
      <w:r>
        <w:rPr>
          <w:rFonts w:hint="eastAsia"/>
          <w:highlight w:val="none"/>
        </w:rPr>
        <w:t>、附件</w:t>
      </w:r>
      <w:r>
        <w:rPr>
          <w:rFonts w:hint="eastAsia" w:ascii="Times New Roman" w:hAnsi="Times New Roman" w:cs="Times New Roman"/>
          <w:highlight w:val="none"/>
          <w:lang w:val="en-US" w:eastAsia="zh-CN"/>
        </w:rPr>
        <w:t>5</w:t>
      </w:r>
      <w:r>
        <w:rPr>
          <w:rFonts w:hint="eastAsia"/>
          <w:highlight w:val="none"/>
        </w:rPr>
        <w:t>。</w:t>
      </w:r>
    </w:p>
    <w:p>
      <w:pPr>
        <w:pStyle w:val="2"/>
        <w:keepLines w:val="0"/>
        <w:pageBreakBefore w:val="0"/>
        <w:widowControl w:val="0"/>
        <w:kinsoku/>
        <w:wordWrap/>
        <w:overflowPunct/>
        <w:topLinePunct w:val="0"/>
        <w:autoSpaceDE/>
        <w:autoSpaceDN/>
        <w:bidi w:val="0"/>
        <w:adjustRightInd/>
        <w:snapToGrid/>
        <w:ind w:left="0" w:leftChars="0" w:firstLine="0" w:firstLineChars="0"/>
        <w:textAlignment w:val="auto"/>
        <w:rPr>
          <w:highlight w:val="none"/>
        </w:rPr>
      </w:pPr>
    </w:p>
    <w:p/>
    <w:p>
      <w:pPr>
        <w:pStyle w:val="2"/>
      </w:pPr>
    </w:p>
    <w:p/>
    <w:p>
      <w:pPr>
        <w:pStyle w:val="2"/>
        <w:ind w:left="0" w:leftChars="0" w:firstLine="0" w:firstLineChars="0"/>
      </w:pPr>
    </w:p>
    <w:p>
      <w:pPr>
        <w:pStyle w:val="4"/>
        <w:ind w:firstLine="0" w:firstLineChars="0"/>
        <w:rPr>
          <w:rFonts w:hint="eastAsia" w:ascii="黑体" w:hAnsi="黑体" w:eastAsia="黑体" w:cs="仿宋"/>
          <w:b w:val="0"/>
          <w:sz w:val="28"/>
          <w:szCs w:val="28"/>
        </w:rPr>
      </w:pPr>
      <w:bookmarkStart w:id="146" w:name="_Toc24658"/>
      <w:bookmarkStart w:id="147" w:name="_Toc21913"/>
      <w:bookmarkStart w:id="148" w:name="_Toc887"/>
    </w:p>
    <w:p>
      <w:pPr>
        <w:pStyle w:val="4"/>
        <w:ind w:firstLine="0" w:firstLineChars="0"/>
        <w:rPr>
          <w:rFonts w:hint="eastAsia" w:ascii="黑体" w:hAnsi="黑体" w:eastAsia="黑体" w:cs="仿宋"/>
          <w:b w:val="0"/>
          <w:sz w:val="28"/>
          <w:szCs w:val="28"/>
        </w:rPr>
      </w:pPr>
    </w:p>
    <w:p>
      <w:pPr>
        <w:rPr>
          <w:rFonts w:hint="eastAsia" w:ascii="黑体" w:hAnsi="黑体" w:eastAsia="黑体" w:cs="仿宋"/>
          <w:b w:val="0"/>
          <w:sz w:val="28"/>
          <w:szCs w:val="28"/>
        </w:rPr>
      </w:pPr>
    </w:p>
    <w:p>
      <w:pPr>
        <w:pStyle w:val="2"/>
        <w:rPr>
          <w:rFonts w:hint="eastAsia" w:ascii="黑体" w:hAnsi="黑体" w:eastAsia="黑体" w:cs="仿宋"/>
          <w:b w:val="0"/>
          <w:sz w:val="28"/>
          <w:szCs w:val="28"/>
        </w:rPr>
      </w:pPr>
    </w:p>
    <w:p>
      <w:pPr>
        <w:rPr>
          <w:rFonts w:hint="eastAsia" w:ascii="黑体" w:hAnsi="黑体" w:eastAsia="黑体" w:cs="仿宋"/>
          <w:b w:val="0"/>
          <w:sz w:val="28"/>
          <w:szCs w:val="28"/>
        </w:rPr>
      </w:pPr>
    </w:p>
    <w:p>
      <w:pPr>
        <w:pStyle w:val="2"/>
        <w:rPr>
          <w:rFonts w:hint="eastAsia" w:ascii="黑体" w:hAnsi="黑体" w:eastAsia="黑体" w:cs="仿宋"/>
          <w:b w:val="0"/>
          <w:sz w:val="28"/>
          <w:szCs w:val="28"/>
        </w:rPr>
      </w:pPr>
    </w:p>
    <w:p>
      <w:pPr>
        <w:rPr>
          <w:rFonts w:hint="eastAsia" w:ascii="黑体" w:hAnsi="黑体" w:eastAsia="黑体" w:cs="仿宋"/>
          <w:b w:val="0"/>
          <w:sz w:val="28"/>
          <w:szCs w:val="28"/>
        </w:rPr>
      </w:pPr>
    </w:p>
    <w:p>
      <w:pPr>
        <w:pStyle w:val="4"/>
        <w:ind w:firstLine="0" w:firstLineChars="0"/>
        <w:rPr>
          <w:rFonts w:ascii="黑体" w:hAnsi="黑体" w:eastAsia="黑体" w:cs="Times New Roman"/>
          <w:b w:val="0"/>
          <w:sz w:val="28"/>
          <w:szCs w:val="28"/>
        </w:rPr>
      </w:pPr>
      <w:r>
        <w:rPr>
          <w:rFonts w:hint="eastAsia" w:ascii="黑体" w:hAnsi="黑体" w:eastAsia="黑体" w:cs="仿宋"/>
          <w:b w:val="0"/>
          <w:sz w:val="28"/>
          <w:szCs w:val="28"/>
        </w:rPr>
        <w:t>附件</w:t>
      </w:r>
      <w:r>
        <w:rPr>
          <w:rFonts w:ascii="黑体" w:hAnsi="黑体" w:eastAsia="黑体" w:cs="Times New Roman"/>
          <w:b w:val="0"/>
          <w:sz w:val="28"/>
          <w:szCs w:val="28"/>
        </w:rPr>
        <w:t>1</w:t>
      </w:r>
      <w:bookmarkEnd w:id="146"/>
      <w:bookmarkEnd w:id="147"/>
      <w:bookmarkStart w:id="149" w:name="_Toc21679"/>
      <w:bookmarkStart w:id="150" w:name="_Toc14410"/>
    </w:p>
    <w:p>
      <w:pPr>
        <w:pStyle w:val="4"/>
        <w:ind w:firstLine="0" w:firstLineChars="0"/>
        <w:jc w:val="center"/>
        <w:rPr>
          <w:rFonts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b w:val="0"/>
          <w:sz w:val="44"/>
          <w:szCs w:val="44"/>
          <w:lang w:eastAsia="zh-CN"/>
        </w:rPr>
        <w:t>通化</w:t>
      </w:r>
      <w:r>
        <w:rPr>
          <w:rFonts w:hint="eastAsia" w:ascii="方正小标宋简体" w:hAnsi="方正小标宋简体" w:eastAsia="方正小标宋简体" w:cs="方正小标宋简体"/>
          <w:b w:val="0"/>
          <w:sz w:val="44"/>
          <w:szCs w:val="44"/>
        </w:rPr>
        <w:t>市大面积停电事件分级标准</w:t>
      </w:r>
      <w:bookmarkEnd w:id="148"/>
      <w:bookmarkEnd w:id="149"/>
      <w:bookmarkEnd w:id="150"/>
    </w:p>
    <w:p>
      <w:pPr>
        <w:ind w:firstLine="632"/>
        <w:rPr>
          <w:rFonts w:ascii="黑体" w:hAnsi="黑体" w:eastAsia="黑体" w:cs="黑体"/>
        </w:rPr>
      </w:pPr>
      <w:bookmarkStart w:id="151" w:name="_Toc17106"/>
      <w:bookmarkStart w:id="152" w:name="_Toc1737"/>
      <w:bookmarkStart w:id="153" w:name="_Toc31926"/>
    </w:p>
    <w:p>
      <w:pPr>
        <w:ind w:firstLine="632"/>
        <w:rPr>
          <w:rFonts w:ascii="黑体" w:hAnsi="黑体" w:eastAsia="黑体" w:cs="黑体"/>
        </w:rPr>
      </w:pPr>
      <w:r>
        <w:rPr>
          <w:rFonts w:hint="eastAsia" w:ascii="黑体" w:hAnsi="黑体" w:eastAsia="黑体" w:cs="黑体"/>
        </w:rPr>
        <w:t>一、特别重大大面积停电事件</w:t>
      </w:r>
      <w:bookmarkEnd w:id="151"/>
      <w:bookmarkEnd w:id="152"/>
      <w:bookmarkEnd w:id="153"/>
    </w:p>
    <w:p>
      <w:pPr>
        <w:keepNext w:val="0"/>
        <w:keepLines w:val="0"/>
        <w:pageBreakBefore w:val="0"/>
        <w:widowControl w:val="0"/>
        <w:kinsoku/>
        <w:wordWrap/>
        <w:overflowPunct/>
        <w:topLinePunct w:val="0"/>
        <w:autoSpaceDE/>
        <w:autoSpaceDN/>
        <w:bidi w:val="0"/>
        <w:adjustRightInd/>
        <w:snapToGrid/>
        <w:spacing w:line="240" w:lineRule="auto"/>
        <w:ind w:firstLine="632"/>
        <w:textAlignment w:val="auto"/>
      </w:pPr>
      <w:r>
        <w:rPr>
          <w:rFonts w:hint="eastAsia"/>
        </w:rPr>
        <w:t>达到下列情况之一的，为特别重大大面积停电事件：</w:t>
      </w:r>
    </w:p>
    <w:p>
      <w:pPr>
        <w:rPr>
          <w:rFonts w:hint="eastAsia" w:ascii="仿宋_GB2312" w:hAnsi="仿宋_GB2312" w:eastAsia="仿宋_GB2312" w:cs="仿宋_GB2312"/>
          <w:sz w:val="32"/>
          <w:szCs w:val="32"/>
        </w:rPr>
      </w:pPr>
      <w:bookmarkStart w:id="154" w:name="_Toc24309"/>
      <w:bookmarkStart w:id="155" w:name="_Toc26694"/>
      <w:bookmarkStart w:id="156" w:name="_Toc16470"/>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吉林省电网：负荷5000兆瓦以上20000兆瓦以下的减供负荷40％以上。</w:t>
      </w:r>
    </w:p>
    <w:p>
      <w:pPr>
        <w:ind w:firstLine="632"/>
        <w:rPr>
          <w:rFonts w:ascii="黑体" w:hAnsi="黑体" w:eastAsia="黑体" w:cs="黑体"/>
        </w:rPr>
      </w:pPr>
      <w:r>
        <w:rPr>
          <w:rFonts w:hint="eastAsia" w:ascii="黑体" w:hAnsi="黑体" w:eastAsia="黑体" w:cs="黑体"/>
        </w:rPr>
        <w:t>二、重大大面积停电事件</w:t>
      </w:r>
      <w:bookmarkEnd w:id="154"/>
      <w:bookmarkEnd w:id="155"/>
      <w:bookmarkEnd w:id="156"/>
    </w:p>
    <w:p>
      <w:pPr>
        <w:ind w:firstLine="632"/>
      </w:pPr>
      <w:r>
        <w:rPr>
          <w:rFonts w:hint="eastAsia"/>
        </w:rPr>
        <w:t>达到下列情况之一的，为重大大面积停电事件：</w:t>
      </w:r>
    </w:p>
    <w:p>
      <w:pPr>
        <w:rPr>
          <w:rFonts w:hint="eastAsia" w:ascii="仿宋_GB2312" w:hAnsi="仿宋_GB2312" w:eastAsia="仿宋_GB2312" w:cs="仿宋_GB2312"/>
          <w:sz w:val="32"/>
          <w:szCs w:val="32"/>
        </w:rPr>
      </w:pPr>
      <w:bookmarkStart w:id="157" w:name="_Toc17840"/>
      <w:bookmarkStart w:id="158" w:name="_Toc22225"/>
      <w:bookmarkStart w:id="159" w:name="_Toc9693"/>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吉林省电网：负荷5000兆瓦以上20000兆瓦以下的减供负荷16％以上40％以下，负荷1000兆瓦以上5000兆瓦以下的减供负荷50％以上。</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区市电网：负荷600兆瓦以上的减供负荷60％以上，或70％以上供电用户停电。</w:t>
      </w:r>
    </w:p>
    <w:p>
      <w:pPr>
        <w:ind w:firstLine="632"/>
        <w:rPr>
          <w:rFonts w:ascii="黑体" w:hAnsi="黑体" w:eastAsia="黑体" w:cs="黑体"/>
        </w:rPr>
      </w:pPr>
      <w:r>
        <w:rPr>
          <w:rFonts w:hint="eastAsia" w:ascii="黑体" w:hAnsi="黑体" w:eastAsia="黑体" w:cs="黑体"/>
        </w:rPr>
        <w:t>三、较大大面积停电事件</w:t>
      </w:r>
      <w:bookmarkEnd w:id="157"/>
      <w:bookmarkEnd w:id="158"/>
      <w:bookmarkEnd w:id="159"/>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 w:hAnsi="仿宋" w:eastAsia="仿宋" w:cs="仿宋"/>
          <w:sz w:val="32"/>
          <w:szCs w:val="32"/>
        </w:rPr>
      </w:pPr>
      <w:bookmarkStart w:id="160" w:name="_Toc9355"/>
      <w:bookmarkStart w:id="161" w:name="_Toc24031"/>
      <w:bookmarkStart w:id="162" w:name="_Toc29864"/>
      <w:r>
        <w:rPr>
          <w:rFonts w:hint="eastAsia" w:ascii="仿宋" w:hAnsi="仿宋" w:eastAsia="仿宋" w:cs="仿宋"/>
          <w:sz w:val="32"/>
          <w:szCs w:val="32"/>
        </w:rPr>
        <w:t>达到下列情况之一的，为较大大面积停电事件：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吉林省电网：负荷5000兆瓦以上20000兆瓦以下的减供负荷12％以上16％以下，负荷1000兆瓦以上5000兆瓦以下的减供负荷20％以上50％以下。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区市电网：负荷600兆瓦以上的减供负荷40％以上60％以下，或50％以上70％以下供电用户停电；负荷600兆瓦以下的减供负荷40％以上，或50％以上供电用户停电。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县级市电网：负荷150兆瓦以上的减供负荷60％以上或70％以上供电用户停电。</w:t>
      </w:r>
    </w:p>
    <w:p>
      <w:pPr>
        <w:ind w:firstLine="632"/>
        <w:rPr>
          <w:rFonts w:ascii="黑体" w:hAnsi="黑体" w:eastAsia="黑体" w:cs="黑体"/>
        </w:rPr>
      </w:pPr>
      <w:r>
        <w:rPr>
          <w:rFonts w:hint="eastAsia" w:ascii="黑体" w:hAnsi="黑体" w:eastAsia="黑体" w:cs="黑体"/>
        </w:rPr>
        <w:t>四、一般大面积停电事件</w:t>
      </w:r>
      <w:bookmarkEnd w:id="160"/>
      <w:bookmarkEnd w:id="161"/>
      <w:bookmarkEnd w:id="162"/>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 w:hAnsi="仿宋" w:eastAsia="仿宋" w:cs="仿宋"/>
          <w:sz w:val="32"/>
          <w:szCs w:val="32"/>
        </w:rPr>
      </w:pPr>
      <w:r>
        <w:rPr>
          <w:rFonts w:hint="eastAsia" w:ascii="仿宋" w:hAnsi="仿宋" w:eastAsia="仿宋" w:cs="仿宋"/>
          <w:sz w:val="32"/>
          <w:szCs w:val="32"/>
        </w:rPr>
        <w:t>达到下列情况之一的，为一般大面积停电事件：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吉林省电网：负荷5000兆瓦以上20000兆瓦以下的供负荷6％以上12％以下，负荷1000兆瓦以上5000兆瓦以下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减供负荷10％以上20％以下。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区市电网：减供负荷20％以上40％以下，或30％以上50％以下供电用户停电。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城市核心区域发生有重大及以上社会影响的停电事件。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县级市电网：负荷150，兆瓦以上的减供负荷40％以上60％以下，或50％以上70％以下供电用户停电；负荷150兆瓦以下的减供负荷40％以上，或50％以上供电用户停电。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上述分级标准有关数量的表述中，“以上”含本数，“以下”不含本数。</w:t>
      </w:r>
    </w:p>
    <w:p>
      <w:pPr>
        <w:ind w:firstLine="632"/>
      </w:pPr>
      <w:r>
        <w:rPr>
          <w:rFonts w:hint="eastAsia"/>
        </w:rPr>
        <w:br w:type="page"/>
      </w:r>
    </w:p>
    <w:p>
      <w:pPr>
        <w:pStyle w:val="4"/>
        <w:ind w:firstLine="0" w:firstLineChars="0"/>
        <w:rPr>
          <w:rFonts w:ascii="黑体" w:hAnsi="黑体" w:eastAsia="黑体" w:cs="仿宋"/>
          <w:b w:val="0"/>
          <w:sz w:val="28"/>
          <w:szCs w:val="28"/>
        </w:rPr>
      </w:pPr>
      <w:bookmarkStart w:id="163" w:name="_Toc16155"/>
      <w:bookmarkStart w:id="164" w:name="_Toc19246"/>
      <w:r>
        <w:rPr>
          <w:rFonts w:hint="eastAsia" w:ascii="黑体" w:hAnsi="黑体" w:eastAsia="黑体" w:cs="仿宋"/>
          <w:b w:val="0"/>
          <w:sz w:val="28"/>
          <w:szCs w:val="28"/>
        </w:rPr>
        <w:t>附件</w:t>
      </w:r>
      <w:r>
        <w:rPr>
          <w:rFonts w:ascii="黑体" w:hAnsi="黑体" w:eastAsia="黑体" w:cs="仿宋"/>
          <w:b w:val="0"/>
          <w:sz w:val="28"/>
          <w:szCs w:val="28"/>
        </w:rPr>
        <w:t>2</w:t>
      </w:r>
      <w:bookmarkEnd w:id="163"/>
    </w:p>
    <w:p>
      <w:pPr>
        <w:pStyle w:val="4"/>
        <w:spacing w:line="600" w:lineRule="exact"/>
        <w:ind w:firstLine="0" w:firstLineChars="0"/>
        <w:jc w:val="center"/>
        <w:rPr>
          <w:rFonts w:ascii="方正小标宋简体" w:hAnsi="方正小标宋简体" w:eastAsia="方正小标宋简体" w:cs="方正小标宋简体"/>
          <w:b w:val="0"/>
          <w:sz w:val="44"/>
          <w:szCs w:val="44"/>
        </w:rPr>
      </w:pPr>
      <w:bookmarkStart w:id="165" w:name="_Toc30917"/>
    </w:p>
    <w:p>
      <w:pPr>
        <w:pStyle w:val="4"/>
        <w:spacing w:line="600" w:lineRule="exact"/>
        <w:ind w:firstLine="0" w:firstLineChars="0"/>
        <w:jc w:val="center"/>
        <w:rPr>
          <w:rFonts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b w:val="0"/>
          <w:sz w:val="44"/>
          <w:szCs w:val="44"/>
          <w:lang w:eastAsia="zh-CN"/>
        </w:rPr>
        <w:t>通化</w:t>
      </w:r>
      <w:r>
        <w:rPr>
          <w:rFonts w:hint="eastAsia" w:ascii="方正小标宋简体" w:hAnsi="方正小标宋简体" w:eastAsia="方正小标宋简体" w:cs="方正小标宋简体"/>
          <w:b w:val="0"/>
          <w:sz w:val="44"/>
          <w:szCs w:val="44"/>
        </w:rPr>
        <w:t>市大面积停电事件应急指挥部</w:t>
      </w:r>
      <w:bookmarkEnd w:id="165"/>
    </w:p>
    <w:p>
      <w:pPr>
        <w:pStyle w:val="4"/>
        <w:spacing w:line="600" w:lineRule="exact"/>
        <w:ind w:firstLine="0" w:firstLineChars="0"/>
        <w:jc w:val="center"/>
        <w:rPr>
          <w:rFonts w:ascii="方正小标宋简体" w:hAnsi="方正小标宋简体" w:eastAsia="方正小标宋简体" w:cs="方正小标宋简体"/>
          <w:b w:val="0"/>
          <w:sz w:val="44"/>
          <w:szCs w:val="44"/>
        </w:rPr>
      </w:pPr>
      <w:bookmarkStart w:id="166" w:name="_Toc4395"/>
      <w:r>
        <w:rPr>
          <w:rFonts w:hint="eastAsia" w:ascii="方正小标宋简体" w:hAnsi="方正小标宋简体" w:eastAsia="方正小标宋简体" w:cs="方正小标宋简体"/>
          <w:b w:val="0"/>
          <w:sz w:val="44"/>
          <w:szCs w:val="44"/>
        </w:rPr>
        <w:t>和各工作组组成及工作职责</w:t>
      </w:r>
      <w:bookmarkEnd w:id="164"/>
      <w:bookmarkEnd w:id="166"/>
    </w:p>
    <w:p>
      <w:pPr>
        <w:spacing w:line="600" w:lineRule="exact"/>
        <w:ind w:firstLine="0" w:firstLineChars="0"/>
        <w:jc w:val="center"/>
        <w:rPr>
          <w:rFonts w:ascii="方正小标宋简体" w:hAnsi="方正小标宋简体" w:eastAsia="方正小标宋简体" w:cs="方正小标宋简体"/>
          <w:sz w:val="44"/>
          <w:szCs w:val="44"/>
        </w:rPr>
      </w:pPr>
    </w:p>
    <w:p>
      <w:pPr>
        <w:ind w:firstLine="632"/>
        <w:rPr>
          <w:rFonts w:ascii="黑体" w:hAnsi="黑体" w:eastAsia="黑体" w:cs="黑体"/>
        </w:rPr>
      </w:pPr>
      <w:bookmarkStart w:id="167" w:name="_Toc397"/>
      <w:bookmarkStart w:id="168" w:name="_Toc7301"/>
      <w:bookmarkStart w:id="169" w:name="_Toc15093"/>
      <w:r>
        <w:rPr>
          <w:rFonts w:hint="eastAsia" w:ascii="黑体" w:hAnsi="黑体" w:eastAsia="黑体" w:cs="黑体"/>
        </w:rPr>
        <w:t>一、应急指挥部组成及职责</w:t>
      </w:r>
      <w:bookmarkEnd w:id="167"/>
      <w:bookmarkEnd w:id="168"/>
      <w:bookmarkEnd w:id="169"/>
    </w:p>
    <w:p>
      <w:pPr>
        <w:ind w:firstLine="632"/>
      </w:pPr>
      <w:r>
        <w:rPr>
          <w:rFonts w:hint="eastAsia"/>
          <w:lang w:eastAsia="zh-CN"/>
        </w:rPr>
        <w:t>通化</w:t>
      </w:r>
      <w:r>
        <w:rPr>
          <w:rFonts w:hint="eastAsia"/>
        </w:rPr>
        <w:t>市大面积停电事件应急指挥部总指挥由市政府常务副市长担任，副总指挥由市政府相关副秘书长、市发改委主任、市应急局局长、国网</w:t>
      </w:r>
      <w:r>
        <w:rPr>
          <w:rFonts w:hint="eastAsia"/>
          <w:lang w:eastAsia="zh-CN"/>
        </w:rPr>
        <w:t>通化</w:t>
      </w:r>
      <w:r>
        <w:rPr>
          <w:rFonts w:hint="eastAsia"/>
        </w:rPr>
        <w:t>供电公司总经理担任。成员包括各县（市）区人民政府、开发区管委会，市委宣传部、市委网信办、市发改委、市应急局、国网</w:t>
      </w:r>
      <w:r>
        <w:rPr>
          <w:rFonts w:hint="eastAsia"/>
          <w:lang w:eastAsia="zh-CN"/>
        </w:rPr>
        <w:t>通化</w:t>
      </w:r>
      <w:r>
        <w:rPr>
          <w:rFonts w:hint="eastAsia"/>
        </w:rPr>
        <w:t>供电公司、市工信局、市公安局、市民政局、市财政局、市</w:t>
      </w:r>
      <w:r>
        <w:rPr>
          <w:rFonts w:hint="eastAsia"/>
          <w:lang w:eastAsia="zh-CN"/>
        </w:rPr>
        <w:t>自然资源局</w:t>
      </w:r>
      <w:r>
        <w:rPr>
          <w:rFonts w:hint="eastAsia"/>
        </w:rPr>
        <w:t>、市住建局、市交通局、市水利局、市商务局、市市场监管局、市国资委、市林业局、市气象局、沈阳铁路局</w:t>
      </w:r>
      <w:r>
        <w:rPr>
          <w:rFonts w:hint="eastAsia"/>
          <w:lang w:eastAsia="zh-CN"/>
        </w:rPr>
        <w:t>通化车务段</w:t>
      </w:r>
      <w:r>
        <w:rPr>
          <w:rFonts w:hint="eastAsia"/>
        </w:rPr>
        <w:t>、武警</w:t>
      </w:r>
      <w:r>
        <w:rPr>
          <w:rFonts w:hint="eastAsia"/>
          <w:lang w:eastAsia="zh-CN"/>
        </w:rPr>
        <w:t>通化</w:t>
      </w:r>
      <w:r>
        <w:rPr>
          <w:rFonts w:hint="eastAsia"/>
        </w:rPr>
        <w:t>支队、</w:t>
      </w:r>
      <w:r>
        <w:rPr>
          <w:rFonts w:hint="eastAsia"/>
          <w:lang w:eastAsia="zh-CN"/>
        </w:rPr>
        <w:t>通化</w:t>
      </w:r>
      <w:r>
        <w:rPr>
          <w:rFonts w:hint="eastAsia"/>
        </w:rPr>
        <w:t>市消防救援支队</w:t>
      </w:r>
      <w:r>
        <w:rPr>
          <w:rFonts w:hint="eastAsia"/>
          <w:lang w:eastAsia="zh-CN"/>
        </w:rPr>
        <w:t>、吉林省地方水电有限公司通化县分公司、省民航集团通化机场分公司</w:t>
      </w:r>
      <w:r>
        <w:rPr>
          <w:rFonts w:hint="eastAsia"/>
        </w:rPr>
        <w:t>等单位和部门组成，并可根据工作需要增加其他有关部门和相关电力企业。</w:t>
      </w:r>
    </w:p>
    <w:p>
      <w:pPr>
        <w:ind w:firstLine="632"/>
      </w:pPr>
      <w:r>
        <w:rPr>
          <w:rFonts w:hint="eastAsia"/>
        </w:rPr>
        <w:t>主要职责：在市政府、省政府和国家应急指挥机构的领导下，统一实施</w:t>
      </w:r>
      <w:r>
        <w:rPr>
          <w:rFonts w:hint="eastAsia"/>
          <w:lang w:eastAsia="zh-CN"/>
        </w:rPr>
        <w:t>通化</w:t>
      </w:r>
      <w:r>
        <w:rPr>
          <w:rFonts w:hint="eastAsia"/>
        </w:rPr>
        <w:t>市大面积停电应急处置等各项工作；协调市内各相关地区、各有关部门、各应急指挥机构之间的关系，协调本市与相关市（州）电力应急指挥机构的关系，协调指挥社会应急救援工作；研究重大应急决策和部署；决定启动、调整和终止应急响应；配合国家和吉林省大面积停电应急处置工作。</w:t>
      </w:r>
    </w:p>
    <w:p>
      <w:pPr>
        <w:ind w:firstLine="632"/>
        <w:rPr>
          <w:rFonts w:ascii="黑体" w:hAnsi="黑体" w:eastAsia="黑体" w:cs="黑体"/>
        </w:rPr>
      </w:pPr>
      <w:bookmarkStart w:id="170" w:name="_Toc6297"/>
      <w:bookmarkStart w:id="171" w:name="_Toc7490"/>
      <w:bookmarkStart w:id="172" w:name="_Toc31646"/>
      <w:r>
        <w:rPr>
          <w:rFonts w:hint="eastAsia" w:ascii="黑体" w:hAnsi="黑体" w:eastAsia="黑体" w:cs="黑体"/>
        </w:rPr>
        <w:t>二、各工作组组成及职责分工</w:t>
      </w:r>
      <w:bookmarkEnd w:id="170"/>
      <w:bookmarkEnd w:id="171"/>
      <w:bookmarkEnd w:id="172"/>
    </w:p>
    <w:p>
      <w:pPr>
        <w:ind w:firstLine="632"/>
      </w:pPr>
      <w:bookmarkStart w:id="173" w:name="_Toc25949"/>
      <w:bookmarkStart w:id="174" w:name="_Toc17943"/>
      <w:bookmarkStart w:id="175" w:name="_Toc23163"/>
      <w:r>
        <w:rPr>
          <w:rFonts w:hint="eastAsia" w:ascii="楷体" w:hAnsi="楷体" w:eastAsia="楷体" w:cs="楷体"/>
        </w:rPr>
        <w:t>（一）综合协调组：</w:t>
      </w:r>
      <w:r>
        <w:rPr>
          <w:rFonts w:hint="eastAsia"/>
        </w:rPr>
        <w:t>由市发改委牵头，市应急局、国网吉林供电公司、市工信局、市商务局、市公安局、市民政局、市财政局、市</w:t>
      </w:r>
      <w:r>
        <w:rPr>
          <w:rFonts w:hint="eastAsia"/>
          <w:lang w:eastAsia="zh-CN"/>
        </w:rPr>
        <w:t>自然资源局</w:t>
      </w:r>
      <w:r>
        <w:rPr>
          <w:rFonts w:hint="eastAsia"/>
        </w:rPr>
        <w:t>、市住建局、市交通局、市水利局、市市场监管局、市国资委、市林业局、市气象局等参加。</w:t>
      </w:r>
      <w:bookmarkEnd w:id="173"/>
      <w:bookmarkEnd w:id="174"/>
      <w:bookmarkEnd w:id="175"/>
      <w:r>
        <w:rPr>
          <w:rFonts w:hint="eastAsia"/>
        </w:rPr>
        <w:t>主要职责：</w:t>
      </w:r>
      <w:r>
        <w:rPr>
          <w:rFonts w:hint="eastAsia"/>
          <w:highlight w:val="none"/>
        </w:rPr>
        <w:t>负责市电力应急指挥部的联络和协调工作；</w:t>
      </w:r>
      <w:r>
        <w:rPr>
          <w:rFonts w:hint="eastAsia"/>
        </w:rPr>
        <w:t>落实市电力应急指挥部部署的各项任务，执行市电力应急指挥部下达的应急指令；监督应急预案执行情况，掌握应急处理和供电恢复情况；会同新闻主管部门发布有关信息。</w:t>
      </w:r>
    </w:p>
    <w:p>
      <w:pPr>
        <w:ind w:firstLine="632"/>
      </w:pPr>
      <w:r>
        <w:rPr>
          <w:rFonts w:hint="eastAsia" w:ascii="楷体" w:hAnsi="楷体" w:eastAsia="楷体" w:cs="楷体"/>
        </w:rPr>
        <w:t>（二）电力恢复组：</w:t>
      </w:r>
      <w:r>
        <w:rPr>
          <w:rFonts w:hint="eastAsia"/>
        </w:rPr>
        <w:t>由国网</w:t>
      </w:r>
      <w:r>
        <w:rPr>
          <w:rFonts w:hint="eastAsia"/>
          <w:lang w:eastAsia="zh-CN"/>
        </w:rPr>
        <w:t>通化</w:t>
      </w:r>
      <w:r>
        <w:rPr>
          <w:rFonts w:hint="eastAsia"/>
        </w:rPr>
        <w:t>供电公司牵头，市发改委、市工信局、市公安局、市水利局、市应急局、市林业局、市气象局、武警</w:t>
      </w:r>
      <w:r>
        <w:rPr>
          <w:rFonts w:hint="eastAsia"/>
          <w:lang w:eastAsia="zh-CN"/>
        </w:rPr>
        <w:t>通化</w:t>
      </w:r>
      <w:r>
        <w:rPr>
          <w:rFonts w:hint="eastAsia"/>
        </w:rPr>
        <w:t>支队、</w:t>
      </w:r>
      <w:r>
        <w:rPr>
          <w:rFonts w:hint="eastAsia"/>
          <w:lang w:eastAsia="zh-CN"/>
        </w:rPr>
        <w:t>通化</w:t>
      </w:r>
      <w:r>
        <w:rPr>
          <w:rFonts w:hint="eastAsia"/>
        </w:rPr>
        <w:t>市消防救援支队等参加，视情增加其他单位及电力企业。主要职责：组织进行技术研判，开展事态分析；组织电力抢修恢复工作，尽快恢复受影响区域供电工作；负责重要电力用户、重点区域的临时供电保障；负责组织跨区域的电力应急抢修恢复协调工作；协调公安、武警有关力量参与应对工作。</w:t>
      </w:r>
    </w:p>
    <w:p>
      <w:pPr>
        <w:ind w:firstLine="632"/>
      </w:pPr>
      <w:r>
        <w:rPr>
          <w:rFonts w:hint="eastAsia" w:ascii="楷体" w:hAnsi="楷体" w:eastAsia="楷体" w:cs="楷体"/>
        </w:rPr>
        <w:t>（三）舆论引导组：</w:t>
      </w:r>
      <w:r>
        <w:rPr>
          <w:rFonts w:hint="eastAsia"/>
        </w:rPr>
        <w:t>由市委宣传部牵头，市委网信办、市发改委、市公安局、市应急局</w:t>
      </w:r>
      <w:r>
        <w:rPr>
          <w:rFonts w:hint="eastAsia"/>
          <w:lang w:eastAsia="zh-CN"/>
        </w:rPr>
        <w:t>、市工信局</w:t>
      </w:r>
      <w:r>
        <w:rPr>
          <w:rFonts w:hint="eastAsia"/>
        </w:rPr>
        <w:t>等参加。主要职责：组织开展事件进展、应急工作情况等权威信息发布；加强新闻宣传报道和舆论引导；收集分析</w:t>
      </w:r>
      <w:r>
        <w:rPr>
          <w:rFonts w:hint="eastAsia"/>
          <w:lang w:eastAsia="zh-CN"/>
        </w:rPr>
        <w:t>网上</w:t>
      </w:r>
      <w:r>
        <w:rPr>
          <w:rFonts w:hint="eastAsia"/>
        </w:rPr>
        <w:t>舆情和社会公众动态，加强媒体、互联网管理和网上舆情监测研判；有效应对突发舆情，及时澄清不实信息，回应社会关切。</w:t>
      </w:r>
    </w:p>
    <w:p>
      <w:pPr>
        <w:ind w:firstLine="632"/>
      </w:pPr>
      <w:r>
        <w:rPr>
          <w:rFonts w:hint="eastAsia" w:ascii="楷体" w:hAnsi="楷体" w:eastAsia="楷体" w:cs="楷体"/>
        </w:rPr>
        <w:t>（四）应急保障组：</w:t>
      </w:r>
      <w:r>
        <w:rPr>
          <w:rFonts w:hint="eastAsia"/>
        </w:rPr>
        <w:t>由市应急局牵头，市发改委、市工信局、市公安局、市民政局、市</w:t>
      </w:r>
      <w:r>
        <w:rPr>
          <w:rFonts w:hint="eastAsia"/>
          <w:lang w:eastAsia="zh-CN"/>
        </w:rPr>
        <w:t>自然资源</w:t>
      </w:r>
      <w:r>
        <w:rPr>
          <w:rFonts w:hint="eastAsia"/>
        </w:rPr>
        <w:t>局、市住建局、市交通局、市水利局、市商务局、市国资委、市通信办、沈阳铁路局</w:t>
      </w:r>
      <w:r>
        <w:rPr>
          <w:rFonts w:hint="eastAsia"/>
          <w:lang w:eastAsia="zh-CN"/>
        </w:rPr>
        <w:t>通化车务段</w:t>
      </w:r>
      <w:r>
        <w:rPr>
          <w:rFonts w:hint="eastAsia"/>
        </w:rPr>
        <w:t>、国网</w:t>
      </w:r>
      <w:r>
        <w:rPr>
          <w:rFonts w:hint="eastAsia"/>
          <w:lang w:eastAsia="zh-CN"/>
        </w:rPr>
        <w:t>通化</w:t>
      </w:r>
      <w:r>
        <w:rPr>
          <w:rFonts w:hint="eastAsia"/>
        </w:rPr>
        <w:t>供电公司等参加，视情增加其他电力企业。主要职责：做好应急救援装备物资及生产生活物资的紧急生产、储备调拨和紧急配送工作；制定恢复电力抢修方案，落实人员、资金和物资；为应急工作提供技术咨询和建议，组织开展事件处置评估；协调供水、供气、供热、通信、广播电视等设施正常运行，维护铁路、道路、水路、民航等基本交通运行，保障群众基本生活和市场供应；深入事故现场开展应急工作处置指导，对受灾情况进行核实。</w:t>
      </w:r>
    </w:p>
    <w:p>
      <w:pPr>
        <w:ind w:firstLine="632"/>
      </w:pPr>
      <w:r>
        <w:rPr>
          <w:rFonts w:hint="eastAsia" w:ascii="楷体" w:hAnsi="楷体" w:eastAsia="楷体" w:cs="楷体"/>
        </w:rPr>
        <w:t>（五）社会稳定组：</w:t>
      </w:r>
      <w:r>
        <w:rPr>
          <w:rFonts w:hint="eastAsia"/>
        </w:rPr>
        <w:t>由市公安局牵头，市民政局、市交通局、市市场监管局、</w:t>
      </w:r>
      <w:r>
        <w:rPr>
          <w:rFonts w:hint="eastAsia"/>
          <w:lang w:eastAsia="zh-CN"/>
        </w:rPr>
        <w:t>通化</w:t>
      </w:r>
      <w:r>
        <w:rPr>
          <w:rFonts w:hint="eastAsia"/>
        </w:rPr>
        <w:t>武警支队、</w:t>
      </w:r>
      <w:r>
        <w:rPr>
          <w:rFonts w:hint="eastAsia"/>
          <w:lang w:eastAsia="zh-CN"/>
        </w:rPr>
        <w:t>通化</w:t>
      </w:r>
      <w:r>
        <w:rPr>
          <w:rFonts w:hint="eastAsia"/>
        </w:rPr>
        <w:t>消防救援支队等参加。主要职责：加强受影响地区社会治安管理，严厉打击借机传播谣言制造社会恐慌，以及趁机盗窃、抢劫、哄抢等违法犯罪行为，加强转移人员安置点、救灾物资存放点等重点地区治安管控，加强对重要生活必需品等商品的市场监管和调控，打击囤积居奇行为，加强对重点区域、重点单位的警戒，做好受影响人员与涉事单位、当地政府及有关部门矛盾纠纷化解等工作，切实维护社会稳定。</w:t>
      </w:r>
    </w:p>
    <w:p>
      <w:pPr>
        <w:ind w:firstLine="632"/>
        <w:sectPr>
          <w:footerReference r:id="rId7" w:type="default"/>
          <w:pgSz w:w="11906" w:h="16838"/>
          <w:pgMar w:top="2098" w:right="1474" w:bottom="1985" w:left="1588" w:header="851" w:footer="1134" w:gutter="0"/>
          <w:pgNumType w:start="1"/>
          <w:cols w:space="720" w:num="1"/>
          <w:docGrid w:type="linesAndChars" w:linePitch="579" w:charSpace="-842"/>
        </w:sectPr>
      </w:pPr>
    </w:p>
    <w:p>
      <w:pPr>
        <w:pStyle w:val="4"/>
        <w:ind w:firstLine="0" w:firstLineChars="0"/>
        <w:rPr>
          <w:rFonts w:hint="eastAsia" w:ascii="黑体" w:hAnsi="黑体" w:eastAsia="黑体" w:cs="仿宋"/>
          <w:b w:val="0"/>
          <w:sz w:val="28"/>
          <w:szCs w:val="28"/>
        </w:rPr>
      </w:pPr>
      <w:bookmarkStart w:id="176" w:name="_Toc29411"/>
    </w:p>
    <w:p>
      <w:pPr>
        <w:pStyle w:val="4"/>
        <w:ind w:firstLine="0" w:firstLineChars="0"/>
        <w:rPr>
          <w:rFonts w:hint="eastAsia" w:ascii="黑体" w:hAnsi="黑体" w:eastAsia="黑体" w:cs="仿宋"/>
          <w:b w:val="0"/>
          <w:sz w:val="28"/>
          <w:szCs w:val="28"/>
          <w:lang w:val="en-US" w:eastAsia="zh-CN"/>
        </w:rPr>
      </w:pPr>
      <w:r>
        <w:rPr>
          <w:rFonts w:hint="eastAsia" w:ascii="黑体" w:hAnsi="黑体" w:eastAsia="黑体" w:cs="仿宋"/>
          <w:b w:val="0"/>
          <w:sz w:val="28"/>
          <w:szCs w:val="28"/>
        </w:rPr>
        <w:t>附件</w:t>
      </w:r>
      <w:bookmarkEnd w:id="176"/>
      <w:r>
        <w:rPr>
          <w:rFonts w:hint="eastAsia" w:ascii="黑体" w:hAnsi="黑体" w:eastAsia="黑体" w:cs="仿宋"/>
          <w:b w:val="0"/>
          <w:sz w:val="28"/>
          <w:szCs w:val="28"/>
          <w:lang w:val="en-US" w:eastAsia="zh-CN"/>
        </w:rPr>
        <w:t>3</w:t>
      </w:r>
    </w:p>
    <w:p>
      <w:pPr>
        <w:pStyle w:val="4"/>
        <w:adjustRightInd w:val="0"/>
        <w:snapToGrid w:val="0"/>
        <w:spacing w:line="600" w:lineRule="exact"/>
        <w:ind w:firstLine="0" w:firstLineChars="0"/>
        <w:jc w:val="center"/>
        <w:rPr>
          <w:rFonts w:ascii="方正小标宋简体" w:hAnsi="方正小标宋简体" w:eastAsia="方正小标宋简体" w:cs="方正小标宋简体"/>
          <w:b w:val="0"/>
          <w:sz w:val="44"/>
          <w:szCs w:val="44"/>
        </w:rPr>
      </w:pPr>
      <w:bookmarkStart w:id="177" w:name="_Toc30434"/>
    </w:p>
    <w:p>
      <w:pPr>
        <w:pStyle w:val="4"/>
        <w:adjustRightInd w:val="0"/>
        <w:snapToGrid w:val="0"/>
        <w:spacing w:line="600" w:lineRule="exact"/>
        <w:ind w:firstLine="0" w:firstLineChars="0"/>
        <w:jc w:val="center"/>
        <w:rPr>
          <w:rFonts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b w:val="0"/>
          <w:sz w:val="44"/>
          <w:szCs w:val="44"/>
          <w:lang w:eastAsia="zh-CN"/>
        </w:rPr>
        <w:t>通化</w:t>
      </w:r>
      <w:r>
        <w:rPr>
          <w:rFonts w:hint="eastAsia" w:ascii="方正小标宋简体" w:hAnsi="方正小标宋简体" w:eastAsia="方正小标宋简体" w:cs="方正小标宋简体"/>
          <w:b w:val="0"/>
          <w:sz w:val="44"/>
          <w:szCs w:val="44"/>
        </w:rPr>
        <w:t>地区重要电力用户划分级别标准及范围</w:t>
      </w:r>
      <w:bookmarkEnd w:id="177"/>
    </w:p>
    <w:p>
      <w:pPr>
        <w:snapToGrid w:val="0"/>
        <w:spacing w:line="600" w:lineRule="exact"/>
        <w:ind w:firstLine="640"/>
      </w:pPr>
    </w:p>
    <w:p>
      <w:pPr>
        <w:adjustRightInd w:val="0"/>
        <w:snapToGrid w:val="0"/>
        <w:spacing w:line="600" w:lineRule="exact"/>
        <w:ind w:firstLine="640"/>
      </w:pPr>
      <w:r>
        <w:rPr>
          <w:rFonts w:hint="eastAsia"/>
        </w:rPr>
        <w:t>依据《重要电力用户供电电源及自备应急电源配置技术规范》(</w:t>
      </w:r>
      <w:r>
        <w:rPr>
          <w:rFonts w:ascii="Times New Roman" w:hAnsi="Times New Roman" w:cs="Times New Roman"/>
        </w:rPr>
        <w:t>GB/T 29328-2018</w:t>
      </w:r>
      <w:r>
        <w:rPr>
          <w:rFonts w:hint="eastAsia"/>
        </w:rPr>
        <w:t>)相关要求，并结合本地区实际情况，本地区重要电力用户划分标准如下：</w:t>
      </w:r>
    </w:p>
    <w:p>
      <w:pPr>
        <w:adjustRightInd w:val="0"/>
        <w:snapToGrid w:val="0"/>
        <w:spacing w:line="600" w:lineRule="exact"/>
        <w:ind w:firstLine="640"/>
        <w:rPr>
          <w:rFonts w:ascii="黑体" w:hAnsi="黑体" w:eastAsia="黑体" w:cs="黑体"/>
        </w:rPr>
      </w:pPr>
      <w:r>
        <w:rPr>
          <w:rFonts w:hint="eastAsia" w:ascii="黑体" w:hAnsi="黑体" w:eastAsia="黑体" w:cs="黑体"/>
        </w:rPr>
        <w:t>一、分级标准</w:t>
      </w:r>
    </w:p>
    <w:p>
      <w:pPr>
        <w:spacing w:line="600" w:lineRule="exact"/>
        <w:ind w:firstLine="640"/>
      </w:pPr>
      <w:r>
        <w:rPr>
          <w:rFonts w:hint="eastAsia"/>
        </w:rPr>
        <w:t>根据供电可靠性要求及供电中断的危害程度,重要电力用户可分为特级、一级、二级重要电力用户和临时性重要电力用户。</w:t>
      </w:r>
    </w:p>
    <w:p>
      <w:pPr>
        <w:adjustRightInd w:val="0"/>
        <w:snapToGrid w:val="0"/>
        <w:spacing w:line="600" w:lineRule="exact"/>
        <w:ind w:firstLine="640"/>
      </w:pPr>
      <w:r>
        <w:rPr>
          <w:rFonts w:ascii="Times New Roman" w:hAnsi="Times New Roman" w:cs="Times New Roman"/>
        </w:rPr>
        <w:t>1</w:t>
      </w:r>
      <w:r>
        <w:rPr>
          <w:rFonts w:hint="eastAsia"/>
        </w:rPr>
        <w:t>.特级重要电力用户,是指在管理国家事务中具有特别重要的作用,供电中断将可能危害国家安全的电力用户。</w:t>
      </w:r>
    </w:p>
    <w:p>
      <w:pPr>
        <w:adjustRightInd w:val="0"/>
        <w:snapToGrid w:val="0"/>
        <w:spacing w:line="600" w:lineRule="exact"/>
        <w:ind w:firstLine="640"/>
      </w:pPr>
      <w:r>
        <w:rPr>
          <w:rFonts w:ascii="Times New Roman" w:hAnsi="Times New Roman" w:cs="Times New Roman"/>
        </w:rPr>
        <w:t>2</w:t>
      </w:r>
      <w:r>
        <w:rPr>
          <w:rFonts w:hint="eastAsia"/>
        </w:rPr>
        <w:t>.一级重要电力用户,是指供电中断将可能产生下列后果之一的电力用户:直接引发人身伤亡的；造成严重环境污染的；发生中毒、爆炸或火灾的；造成重大政治影响的；造成重大经济损失的；造成较大范围社会公共秩序严重混乱的。</w:t>
      </w:r>
    </w:p>
    <w:p>
      <w:pPr>
        <w:adjustRightInd w:val="0"/>
        <w:snapToGrid w:val="0"/>
        <w:spacing w:line="600" w:lineRule="exact"/>
        <w:ind w:firstLine="640"/>
      </w:pPr>
      <w:r>
        <w:rPr>
          <w:rFonts w:ascii="Times New Roman" w:hAnsi="Times New Roman" w:cs="Times New Roman"/>
        </w:rPr>
        <w:t>3</w:t>
      </w:r>
      <w:r>
        <w:rPr>
          <w:rFonts w:hint="eastAsia"/>
        </w:rPr>
        <w:t>.二级重要电力用户,是指供电中断将可能产生下列后果之一的电力用户：造成较大环境污染的；造成较大政治影响的；造成较大经济损失的；造成一定范围社会公共秩序严重混乱的。</w:t>
      </w:r>
    </w:p>
    <w:p>
      <w:pPr>
        <w:adjustRightInd w:val="0"/>
        <w:snapToGrid w:val="0"/>
        <w:spacing w:line="600" w:lineRule="exact"/>
        <w:ind w:firstLine="640"/>
      </w:pPr>
      <w:r>
        <w:rPr>
          <w:rFonts w:ascii="Times New Roman" w:hAnsi="Times New Roman" w:cs="Times New Roman"/>
        </w:rPr>
        <w:t>4</w:t>
      </w:r>
      <w:r>
        <w:rPr>
          <w:rFonts w:hint="eastAsia"/>
        </w:rPr>
        <w:t>.临时性重要电力用户，是指需要临时特殊供电保障的电力用户。</w:t>
      </w:r>
    </w:p>
    <w:p>
      <w:pPr>
        <w:adjustRightInd w:val="0"/>
        <w:snapToGrid w:val="0"/>
        <w:spacing w:line="600" w:lineRule="exact"/>
        <w:ind w:firstLine="640"/>
        <w:rPr>
          <w:rFonts w:ascii="黑体" w:hAnsi="黑体" w:eastAsia="黑体" w:cs="黑体"/>
        </w:rPr>
      </w:pPr>
      <w:r>
        <w:rPr>
          <w:rFonts w:hint="eastAsia" w:ascii="黑体" w:hAnsi="黑体" w:eastAsia="黑体" w:cs="黑体"/>
        </w:rPr>
        <w:t>二、划分类别及范围</w:t>
      </w:r>
    </w:p>
    <w:p>
      <w:pPr>
        <w:adjustRightInd w:val="0"/>
        <w:snapToGrid w:val="0"/>
        <w:spacing w:line="600" w:lineRule="exact"/>
        <w:ind w:firstLine="640"/>
      </w:pPr>
      <w:r>
        <w:rPr>
          <w:rFonts w:hint="eastAsia"/>
        </w:rPr>
        <w:t>本辖区内重要电力用户的划分类别及范围如下表所示。</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900"/>
        <w:gridCol w:w="1691"/>
        <w:gridCol w:w="3118"/>
        <w:gridCol w:w="2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blHeader/>
        </w:trPr>
        <w:tc>
          <w:tcPr>
            <w:tcW w:w="636" w:type="dxa"/>
            <w:vAlign w:val="center"/>
          </w:tcPr>
          <w:p>
            <w:pPr>
              <w:widowControl/>
              <w:ind w:firstLine="0" w:firstLineChars="0"/>
              <w:jc w:val="center"/>
              <w:textAlignment w:val="center"/>
              <w:rPr>
                <w:color w:val="000000"/>
                <w:kern w:val="0"/>
                <w:sz w:val="21"/>
                <w:szCs w:val="21"/>
              </w:rPr>
            </w:pPr>
            <w:r>
              <w:rPr>
                <w:rFonts w:hint="eastAsia"/>
                <w:color w:val="000000"/>
                <w:kern w:val="0"/>
                <w:sz w:val="21"/>
                <w:szCs w:val="21"/>
              </w:rPr>
              <w:t>序号</w:t>
            </w:r>
          </w:p>
        </w:tc>
        <w:tc>
          <w:tcPr>
            <w:tcW w:w="2591" w:type="dxa"/>
            <w:gridSpan w:val="2"/>
            <w:vAlign w:val="center"/>
          </w:tcPr>
          <w:p>
            <w:pPr>
              <w:widowControl/>
              <w:ind w:firstLine="0" w:firstLineChars="0"/>
              <w:jc w:val="center"/>
              <w:textAlignment w:val="center"/>
              <w:rPr>
                <w:color w:val="000000"/>
                <w:kern w:val="0"/>
                <w:sz w:val="21"/>
                <w:szCs w:val="21"/>
              </w:rPr>
            </w:pPr>
            <w:r>
              <w:rPr>
                <w:rFonts w:hint="eastAsia"/>
                <w:color w:val="000000"/>
                <w:kern w:val="0"/>
                <w:sz w:val="21"/>
                <w:szCs w:val="21"/>
              </w:rPr>
              <w:t>重要电力用户类别</w:t>
            </w:r>
          </w:p>
        </w:tc>
        <w:tc>
          <w:tcPr>
            <w:tcW w:w="3118" w:type="dxa"/>
            <w:vAlign w:val="center"/>
          </w:tcPr>
          <w:p>
            <w:pPr>
              <w:widowControl/>
              <w:ind w:firstLine="0" w:firstLineChars="0"/>
              <w:jc w:val="center"/>
              <w:textAlignment w:val="center"/>
              <w:rPr>
                <w:color w:val="000000"/>
                <w:kern w:val="0"/>
                <w:sz w:val="21"/>
                <w:szCs w:val="21"/>
              </w:rPr>
            </w:pPr>
            <w:r>
              <w:rPr>
                <w:rFonts w:hint="eastAsia"/>
                <w:color w:val="000000"/>
                <w:kern w:val="0"/>
                <w:sz w:val="21"/>
                <w:szCs w:val="21"/>
              </w:rPr>
              <w:t>重要电力用户范围</w:t>
            </w:r>
          </w:p>
        </w:tc>
        <w:tc>
          <w:tcPr>
            <w:tcW w:w="2716" w:type="dxa"/>
            <w:vAlign w:val="center"/>
          </w:tcPr>
          <w:p>
            <w:pPr>
              <w:widowControl/>
              <w:ind w:firstLine="0" w:firstLineChars="0"/>
              <w:jc w:val="center"/>
              <w:textAlignment w:val="center"/>
              <w:rPr>
                <w:color w:val="000000"/>
                <w:kern w:val="0"/>
                <w:sz w:val="21"/>
                <w:szCs w:val="21"/>
              </w:rPr>
            </w:pPr>
            <w:r>
              <w:rPr>
                <w:rFonts w:hint="eastAsia"/>
                <w:color w:val="000000"/>
                <w:kern w:val="0"/>
                <w:sz w:val="21"/>
                <w:szCs w:val="21"/>
              </w:rPr>
              <w:t>断电影响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widowControl/>
              <w:ind w:firstLine="0" w:firstLineChars="0"/>
              <w:jc w:val="center"/>
              <w:textAlignment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p>
        </w:tc>
        <w:tc>
          <w:tcPr>
            <w:tcW w:w="900" w:type="dxa"/>
            <w:vMerge w:val="restart"/>
            <w:vAlign w:val="center"/>
          </w:tcPr>
          <w:p>
            <w:pPr>
              <w:widowControl/>
              <w:ind w:firstLine="0" w:firstLineChars="0"/>
              <w:jc w:val="center"/>
              <w:textAlignment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[A]</w:t>
            </w:r>
          </w:p>
          <w:p>
            <w:pPr>
              <w:widowControl/>
              <w:ind w:firstLine="0" w:firstLineChars="0"/>
              <w:jc w:val="center"/>
              <w:textAlignment w:val="center"/>
              <w:rPr>
                <w:color w:val="000000"/>
                <w:kern w:val="0"/>
                <w:sz w:val="21"/>
                <w:szCs w:val="21"/>
              </w:rPr>
            </w:pPr>
            <w:r>
              <w:rPr>
                <w:rFonts w:hint="eastAsia"/>
                <w:color w:val="000000"/>
                <w:kern w:val="0"/>
                <w:sz w:val="21"/>
                <w:szCs w:val="21"/>
              </w:rPr>
              <w:t>工业类</w:t>
            </w:r>
          </w:p>
        </w:tc>
        <w:tc>
          <w:tcPr>
            <w:tcW w:w="1691" w:type="dxa"/>
            <w:vAlign w:val="center"/>
          </w:tcPr>
          <w:p>
            <w:pPr>
              <w:widowControl/>
              <w:ind w:firstLine="0" w:firstLineChars="0"/>
              <w:jc w:val="left"/>
              <w:textAlignment w:val="center"/>
              <w:rPr>
                <w:color w:val="000000"/>
                <w:kern w:val="0"/>
                <w:sz w:val="21"/>
                <w:szCs w:val="21"/>
              </w:rPr>
            </w:pPr>
            <w:r>
              <w:rPr>
                <w:rFonts w:ascii="Times New Roman" w:hAnsi="Times New Roman" w:cs="Times New Roman"/>
                <w:color w:val="000000"/>
                <w:kern w:val="0"/>
                <w:sz w:val="21"/>
                <w:szCs w:val="21"/>
              </w:rPr>
              <w:t>[A1.1]</w:t>
            </w:r>
            <w:r>
              <w:rPr>
                <w:rFonts w:hint="eastAsia"/>
                <w:color w:val="000000"/>
                <w:kern w:val="0"/>
                <w:sz w:val="21"/>
                <w:szCs w:val="21"/>
              </w:rPr>
              <w:t>煤矿</w:t>
            </w:r>
          </w:p>
        </w:tc>
        <w:tc>
          <w:tcPr>
            <w:tcW w:w="3118" w:type="dxa"/>
            <w:vAlign w:val="center"/>
          </w:tcPr>
          <w:p>
            <w:pPr>
              <w:widowControl/>
              <w:spacing w:line="220" w:lineRule="exact"/>
              <w:ind w:firstLine="0" w:firstLineChars="0"/>
              <w:jc w:val="left"/>
              <w:textAlignment w:val="center"/>
              <w:rPr>
                <w:color w:val="000000"/>
                <w:kern w:val="0"/>
                <w:sz w:val="21"/>
                <w:szCs w:val="21"/>
              </w:rPr>
            </w:pPr>
            <w:r>
              <w:rPr>
                <w:rFonts w:hint="eastAsia"/>
                <w:color w:val="000000"/>
                <w:kern w:val="0"/>
                <w:sz w:val="21"/>
                <w:szCs w:val="21"/>
              </w:rPr>
              <w:t>井工煤矿</w:t>
            </w:r>
          </w:p>
        </w:tc>
        <w:tc>
          <w:tcPr>
            <w:tcW w:w="2716" w:type="dxa"/>
            <w:vAlign w:val="center"/>
          </w:tcPr>
          <w:p>
            <w:pPr>
              <w:widowControl/>
              <w:spacing w:line="220" w:lineRule="exact"/>
              <w:ind w:firstLine="0" w:firstLineChars="0"/>
              <w:jc w:val="left"/>
              <w:textAlignment w:val="center"/>
              <w:rPr>
                <w:color w:val="000000"/>
                <w:kern w:val="0"/>
                <w:sz w:val="21"/>
                <w:szCs w:val="21"/>
              </w:rPr>
            </w:pPr>
            <w:r>
              <w:rPr>
                <w:rFonts w:hint="eastAsia"/>
                <w:color w:val="000000"/>
                <w:kern w:val="0"/>
                <w:sz w:val="21"/>
                <w:szCs w:val="21"/>
              </w:rPr>
              <w:t>可能引发人身伤亡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widowControl/>
              <w:ind w:firstLine="0" w:firstLineChars="0"/>
              <w:jc w:val="center"/>
              <w:textAlignment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w:t>
            </w:r>
          </w:p>
        </w:tc>
        <w:tc>
          <w:tcPr>
            <w:tcW w:w="900" w:type="dxa"/>
            <w:vMerge w:val="continue"/>
            <w:vAlign w:val="center"/>
          </w:tcPr>
          <w:p>
            <w:pPr>
              <w:widowControl/>
              <w:ind w:firstLine="0" w:firstLineChars="0"/>
              <w:jc w:val="left"/>
              <w:textAlignment w:val="center"/>
              <w:rPr>
                <w:color w:val="000000"/>
                <w:kern w:val="0"/>
                <w:sz w:val="21"/>
                <w:szCs w:val="21"/>
              </w:rPr>
            </w:pPr>
          </w:p>
        </w:tc>
        <w:tc>
          <w:tcPr>
            <w:tcW w:w="1691" w:type="dxa"/>
            <w:vAlign w:val="center"/>
          </w:tcPr>
          <w:p>
            <w:pPr>
              <w:widowControl/>
              <w:ind w:firstLine="0" w:firstLineChars="0"/>
              <w:jc w:val="left"/>
              <w:textAlignment w:val="center"/>
              <w:rPr>
                <w:color w:val="000000"/>
                <w:kern w:val="0"/>
                <w:sz w:val="21"/>
                <w:szCs w:val="21"/>
              </w:rPr>
            </w:pPr>
            <w:r>
              <w:rPr>
                <w:rFonts w:ascii="Times New Roman" w:hAnsi="Times New Roman" w:cs="Times New Roman"/>
                <w:color w:val="000000"/>
                <w:kern w:val="0"/>
                <w:sz w:val="21"/>
                <w:szCs w:val="21"/>
              </w:rPr>
              <w:t>[A1.2]</w:t>
            </w:r>
            <w:r>
              <w:rPr>
                <w:rFonts w:hint="eastAsia"/>
                <w:color w:val="000000"/>
                <w:kern w:val="0"/>
                <w:sz w:val="21"/>
                <w:szCs w:val="21"/>
              </w:rPr>
              <w:t>非煤矿山</w:t>
            </w:r>
          </w:p>
        </w:tc>
        <w:tc>
          <w:tcPr>
            <w:tcW w:w="3118" w:type="dxa"/>
            <w:vAlign w:val="center"/>
          </w:tcPr>
          <w:p>
            <w:pPr>
              <w:widowControl/>
              <w:spacing w:line="220" w:lineRule="exact"/>
              <w:ind w:firstLine="0" w:firstLineChars="0"/>
              <w:jc w:val="left"/>
              <w:textAlignment w:val="center"/>
              <w:rPr>
                <w:color w:val="000000"/>
                <w:kern w:val="0"/>
                <w:sz w:val="21"/>
                <w:szCs w:val="21"/>
              </w:rPr>
            </w:pPr>
            <w:r>
              <w:rPr>
                <w:rFonts w:hint="eastAsia"/>
                <w:color w:val="000000"/>
                <w:kern w:val="0"/>
                <w:sz w:val="21"/>
                <w:szCs w:val="21"/>
              </w:rPr>
              <w:t>井工非煤矿山</w:t>
            </w:r>
          </w:p>
        </w:tc>
        <w:tc>
          <w:tcPr>
            <w:tcW w:w="2716" w:type="dxa"/>
            <w:vAlign w:val="center"/>
          </w:tcPr>
          <w:p>
            <w:pPr>
              <w:widowControl/>
              <w:spacing w:line="220" w:lineRule="exact"/>
              <w:ind w:firstLine="0" w:firstLineChars="0"/>
              <w:jc w:val="left"/>
              <w:textAlignment w:val="center"/>
              <w:rPr>
                <w:color w:val="000000"/>
                <w:kern w:val="0"/>
                <w:sz w:val="21"/>
                <w:szCs w:val="21"/>
              </w:rPr>
            </w:pPr>
            <w:r>
              <w:rPr>
                <w:rFonts w:hint="eastAsia"/>
                <w:color w:val="000000"/>
                <w:kern w:val="0"/>
                <w:sz w:val="21"/>
                <w:szCs w:val="21"/>
              </w:rPr>
              <w:t>可能引发人身伤亡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widowControl/>
              <w:ind w:firstLine="0" w:firstLineChars="0"/>
              <w:jc w:val="center"/>
              <w:textAlignment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w:t>
            </w:r>
          </w:p>
        </w:tc>
        <w:tc>
          <w:tcPr>
            <w:tcW w:w="900" w:type="dxa"/>
            <w:vMerge w:val="continue"/>
            <w:vAlign w:val="center"/>
          </w:tcPr>
          <w:p>
            <w:pPr>
              <w:widowControl/>
              <w:ind w:firstLine="0" w:firstLineChars="0"/>
              <w:jc w:val="left"/>
              <w:textAlignment w:val="center"/>
              <w:rPr>
                <w:color w:val="000000"/>
                <w:kern w:val="0"/>
                <w:sz w:val="21"/>
                <w:szCs w:val="21"/>
              </w:rPr>
            </w:pPr>
          </w:p>
        </w:tc>
        <w:tc>
          <w:tcPr>
            <w:tcW w:w="1691" w:type="dxa"/>
            <w:vAlign w:val="center"/>
          </w:tcPr>
          <w:p>
            <w:pPr>
              <w:widowControl/>
              <w:ind w:firstLine="0" w:firstLineChars="0"/>
              <w:jc w:val="left"/>
              <w:textAlignment w:val="center"/>
              <w:rPr>
                <w:color w:val="000000"/>
                <w:kern w:val="0"/>
                <w:sz w:val="21"/>
                <w:szCs w:val="21"/>
              </w:rPr>
            </w:pPr>
            <w:r>
              <w:rPr>
                <w:rFonts w:ascii="Times New Roman" w:hAnsi="Times New Roman" w:cs="Times New Roman"/>
                <w:color w:val="000000"/>
                <w:kern w:val="0"/>
                <w:sz w:val="21"/>
                <w:szCs w:val="21"/>
              </w:rPr>
              <w:t>[A2.1]</w:t>
            </w:r>
            <w:r>
              <w:rPr>
                <w:rFonts w:hint="eastAsia"/>
                <w:color w:val="000000"/>
                <w:kern w:val="0"/>
                <w:sz w:val="21"/>
                <w:szCs w:val="21"/>
              </w:rPr>
              <w:t>石化</w:t>
            </w:r>
          </w:p>
        </w:tc>
        <w:tc>
          <w:tcPr>
            <w:tcW w:w="3118" w:type="dxa"/>
            <w:vAlign w:val="center"/>
          </w:tcPr>
          <w:p>
            <w:pPr>
              <w:widowControl/>
              <w:spacing w:line="220" w:lineRule="exact"/>
              <w:ind w:firstLine="0" w:firstLineChars="0"/>
              <w:jc w:val="left"/>
              <w:textAlignment w:val="center"/>
              <w:rPr>
                <w:color w:val="000000"/>
                <w:kern w:val="0"/>
                <w:sz w:val="21"/>
                <w:szCs w:val="21"/>
              </w:rPr>
            </w:pPr>
            <w:r>
              <w:rPr>
                <w:rFonts w:hint="eastAsia"/>
                <w:color w:val="000000"/>
                <w:kern w:val="0"/>
                <w:sz w:val="21"/>
                <w:szCs w:val="21"/>
              </w:rPr>
              <w:t>以石油为原料的化工企业</w:t>
            </w:r>
          </w:p>
        </w:tc>
        <w:tc>
          <w:tcPr>
            <w:tcW w:w="2716" w:type="dxa"/>
            <w:vAlign w:val="center"/>
          </w:tcPr>
          <w:p>
            <w:pPr>
              <w:widowControl/>
              <w:spacing w:line="220" w:lineRule="exact"/>
              <w:ind w:firstLine="0" w:firstLineChars="0"/>
              <w:jc w:val="left"/>
              <w:textAlignment w:val="center"/>
              <w:rPr>
                <w:color w:val="000000"/>
                <w:kern w:val="0"/>
                <w:sz w:val="21"/>
                <w:szCs w:val="21"/>
              </w:rPr>
            </w:pPr>
            <w:r>
              <w:rPr>
                <w:rFonts w:hint="eastAsia"/>
                <w:color w:val="000000"/>
                <w:kern w:val="0"/>
                <w:sz w:val="21"/>
                <w:szCs w:val="21"/>
              </w:rPr>
              <w:t>可能引发人身伤亡、中毒、爆炸火灾等重大安全事故、造成重大经济损失和严重环境污染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widowControl/>
              <w:ind w:firstLine="0" w:firstLineChars="0"/>
              <w:jc w:val="center"/>
              <w:textAlignment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4</w:t>
            </w:r>
          </w:p>
        </w:tc>
        <w:tc>
          <w:tcPr>
            <w:tcW w:w="900" w:type="dxa"/>
            <w:vMerge w:val="continue"/>
            <w:vAlign w:val="center"/>
          </w:tcPr>
          <w:p>
            <w:pPr>
              <w:widowControl/>
              <w:ind w:firstLine="0" w:firstLineChars="0"/>
              <w:jc w:val="left"/>
              <w:textAlignment w:val="center"/>
              <w:rPr>
                <w:color w:val="000000"/>
                <w:kern w:val="0"/>
                <w:sz w:val="21"/>
                <w:szCs w:val="21"/>
              </w:rPr>
            </w:pPr>
          </w:p>
        </w:tc>
        <w:tc>
          <w:tcPr>
            <w:tcW w:w="1691" w:type="dxa"/>
            <w:vAlign w:val="center"/>
          </w:tcPr>
          <w:p>
            <w:pPr>
              <w:widowControl/>
              <w:ind w:firstLine="0" w:firstLineChars="0"/>
              <w:jc w:val="left"/>
              <w:textAlignment w:val="center"/>
              <w:rPr>
                <w:color w:val="000000"/>
                <w:kern w:val="0"/>
                <w:sz w:val="21"/>
                <w:szCs w:val="21"/>
              </w:rPr>
            </w:pPr>
            <w:r>
              <w:rPr>
                <w:rFonts w:ascii="Times New Roman" w:hAnsi="Times New Roman" w:cs="Times New Roman"/>
                <w:color w:val="000000"/>
                <w:kern w:val="0"/>
                <w:sz w:val="21"/>
                <w:szCs w:val="21"/>
              </w:rPr>
              <w:t>[A2.2]</w:t>
            </w:r>
            <w:r>
              <w:rPr>
                <w:rFonts w:hint="eastAsia"/>
                <w:color w:val="000000"/>
                <w:kern w:val="0"/>
                <w:sz w:val="21"/>
                <w:szCs w:val="21"/>
              </w:rPr>
              <w:t>盐化</w:t>
            </w:r>
          </w:p>
        </w:tc>
        <w:tc>
          <w:tcPr>
            <w:tcW w:w="3118" w:type="dxa"/>
            <w:vAlign w:val="center"/>
          </w:tcPr>
          <w:p>
            <w:pPr>
              <w:widowControl/>
              <w:spacing w:line="220" w:lineRule="exact"/>
              <w:ind w:firstLine="0" w:firstLineChars="0"/>
              <w:jc w:val="left"/>
              <w:textAlignment w:val="center"/>
              <w:rPr>
                <w:color w:val="000000"/>
                <w:kern w:val="0"/>
                <w:sz w:val="21"/>
                <w:szCs w:val="21"/>
              </w:rPr>
            </w:pPr>
            <w:r>
              <w:rPr>
                <w:rFonts w:hint="eastAsia"/>
                <w:color w:val="000000"/>
                <w:kern w:val="0"/>
                <w:sz w:val="21"/>
                <w:szCs w:val="21"/>
              </w:rPr>
              <w:t>以粗盐为原料的化工企业</w:t>
            </w:r>
          </w:p>
        </w:tc>
        <w:tc>
          <w:tcPr>
            <w:tcW w:w="2716" w:type="dxa"/>
            <w:vAlign w:val="center"/>
          </w:tcPr>
          <w:p>
            <w:pPr>
              <w:widowControl/>
              <w:spacing w:line="220" w:lineRule="exact"/>
              <w:ind w:firstLine="0" w:firstLineChars="0"/>
              <w:jc w:val="left"/>
              <w:textAlignment w:val="center"/>
              <w:rPr>
                <w:color w:val="000000"/>
                <w:kern w:val="0"/>
                <w:sz w:val="21"/>
                <w:szCs w:val="21"/>
              </w:rPr>
            </w:pPr>
            <w:r>
              <w:rPr>
                <w:rFonts w:hint="eastAsia"/>
                <w:color w:val="000000"/>
                <w:kern w:val="0"/>
                <w:sz w:val="21"/>
                <w:szCs w:val="21"/>
              </w:rPr>
              <w:t>可能引发人身伤亡、中毒、爆炸火灾等重大安全事故、造成重大经济损失和严重环境污染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widowControl/>
              <w:ind w:firstLine="0" w:firstLineChars="0"/>
              <w:jc w:val="center"/>
              <w:textAlignment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5</w:t>
            </w:r>
          </w:p>
        </w:tc>
        <w:tc>
          <w:tcPr>
            <w:tcW w:w="900" w:type="dxa"/>
            <w:vMerge w:val="continue"/>
            <w:vAlign w:val="center"/>
          </w:tcPr>
          <w:p>
            <w:pPr>
              <w:widowControl/>
              <w:ind w:firstLine="0" w:firstLineChars="0"/>
              <w:jc w:val="left"/>
              <w:textAlignment w:val="center"/>
              <w:rPr>
                <w:color w:val="000000"/>
                <w:kern w:val="0"/>
                <w:sz w:val="21"/>
                <w:szCs w:val="21"/>
              </w:rPr>
            </w:pPr>
          </w:p>
        </w:tc>
        <w:tc>
          <w:tcPr>
            <w:tcW w:w="1691" w:type="dxa"/>
            <w:vAlign w:val="center"/>
          </w:tcPr>
          <w:p>
            <w:pPr>
              <w:widowControl/>
              <w:ind w:firstLine="0" w:firstLineChars="0"/>
              <w:jc w:val="left"/>
              <w:textAlignment w:val="center"/>
              <w:rPr>
                <w:color w:val="000000"/>
                <w:kern w:val="0"/>
                <w:sz w:val="21"/>
                <w:szCs w:val="21"/>
              </w:rPr>
            </w:pPr>
            <w:r>
              <w:rPr>
                <w:rFonts w:ascii="Times New Roman" w:hAnsi="Times New Roman" w:cs="Times New Roman"/>
                <w:color w:val="000000"/>
                <w:kern w:val="0"/>
                <w:sz w:val="21"/>
                <w:szCs w:val="21"/>
              </w:rPr>
              <w:t>[A2.3]</w:t>
            </w:r>
            <w:r>
              <w:rPr>
                <w:rFonts w:hint="eastAsia"/>
                <w:color w:val="000000"/>
                <w:kern w:val="0"/>
                <w:sz w:val="21"/>
                <w:szCs w:val="21"/>
              </w:rPr>
              <w:t>煤化</w:t>
            </w:r>
          </w:p>
        </w:tc>
        <w:tc>
          <w:tcPr>
            <w:tcW w:w="3118" w:type="dxa"/>
            <w:vAlign w:val="center"/>
          </w:tcPr>
          <w:p>
            <w:pPr>
              <w:widowControl/>
              <w:spacing w:line="220" w:lineRule="exact"/>
              <w:ind w:firstLine="0" w:firstLineChars="0"/>
              <w:jc w:val="left"/>
              <w:textAlignment w:val="center"/>
              <w:rPr>
                <w:color w:val="000000"/>
                <w:kern w:val="0"/>
                <w:sz w:val="21"/>
                <w:szCs w:val="21"/>
              </w:rPr>
            </w:pPr>
            <w:r>
              <w:rPr>
                <w:rFonts w:hint="eastAsia"/>
                <w:color w:val="000000"/>
                <w:kern w:val="0"/>
                <w:sz w:val="21"/>
                <w:szCs w:val="21"/>
              </w:rPr>
              <w:t>以煤为原料的化工企业</w:t>
            </w:r>
          </w:p>
        </w:tc>
        <w:tc>
          <w:tcPr>
            <w:tcW w:w="2716" w:type="dxa"/>
            <w:vAlign w:val="center"/>
          </w:tcPr>
          <w:p>
            <w:pPr>
              <w:widowControl/>
              <w:spacing w:line="220" w:lineRule="exact"/>
              <w:ind w:firstLine="0" w:firstLineChars="0"/>
              <w:jc w:val="left"/>
              <w:textAlignment w:val="center"/>
              <w:rPr>
                <w:color w:val="000000"/>
                <w:kern w:val="0"/>
                <w:sz w:val="21"/>
                <w:szCs w:val="21"/>
              </w:rPr>
            </w:pPr>
            <w:r>
              <w:rPr>
                <w:rFonts w:hint="eastAsia"/>
                <w:color w:val="000000"/>
                <w:kern w:val="0"/>
                <w:sz w:val="21"/>
                <w:szCs w:val="21"/>
              </w:rPr>
              <w:t>可能引发人身伤亡、中毒、爆炸火灾等重大安全事故、造成重大经济损失和严重环境污染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widowControl/>
              <w:ind w:firstLine="0" w:firstLineChars="0"/>
              <w:jc w:val="center"/>
              <w:textAlignment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6</w:t>
            </w:r>
          </w:p>
        </w:tc>
        <w:tc>
          <w:tcPr>
            <w:tcW w:w="900" w:type="dxa"/>
            <w:vMerge w:val="continue"/>
            <w:vAlign w:val="center"/>
          </w:tcPr>
          <w:p>
            <w:pPr>
              <w:widowControl/>
              <w:ind w:firstLine="0" w:firstLineChars="0"/>
              <w:jc w:val="left"/>
              <w:textAlignment w:val="center"/>
              <w:rPr>
                <w:color w:val="000000"/>
                <w:kern w:val="0"/>
                <w:sz w:val="21"/>
                <w:szCs w:val="21"/>
              </w:rPr>
            </w:pPr>
          </w:p>
        </w:tc>
        <w:tc>
          <w:tcPr>
            <w:tcW w:w="1691" w:type="dxa"/>
            <w:vAlign w:val="center"/>
          </w:tcPr>
          <w:p>
            <w:pPr>
              <w:widowControl/>
              <w:ind w:firstLine="0" w:firstLineChars="0"/>
              <w:jc w:val="left"/>
              <w:textAlignment w:val="center"/>
              <w:rPr>
                <w:color w:val="000000"/>
                <w:kern w:val="0"/>
                <w:sz w:val="21"/>
                <w:szCs w:val="21"/>
              </w:rPr>
            </w:pPr>
            <w:r>
              <w:rPr>
                <w:rFonts w:ascii="Times New Roman" w:hAnsi="Times New Roman" w:cs="Times New Roman"/>
                <w:color w:val="000000"/>
                <w:kern w:val="0"/>
                <w:sz w:val="21"/>
                <w:szCs w:val="21"/>
              </w:rPr>
              <w:t>[A2.4]</w:t>
            </w:r>
            <w:r>
              <w:rPr>
                <w:rFonts w:hint="eastAsia"/>
                <w:color w:val="000000"/>
                <w:kern w:val="0"/>
                <w:sz w:val="21"/>
                <w:szCs w:val="21"/>
              </w:rPr>
              <w:t>精细化工</w:t>
            </w:r>
          </w:p>
        </w:tc>
        <w:tc>
          <w:tcPr>
            <w:tcW w:w="3118" w:type="dxa"/>
            <w:vAlign w:val="center"/>
          </w:tcPr>
          <w:p>
            <w:pPr>
              <w:widowControl/>
              <w:spacing w:line="220" w:lineRule="exact"/>
              <w:ind w:firstLine="0" w:firstLineChars="0"/>
              <w:jc w:val="left"/>
              <w:textAlignment w:val="center"/>
              <w:rPr>
                <w:color w:val="000000"/>
                <w:kern w:val="0"/>
                <w:sz w:val="21"/>
                <w:szCs w:val="21"/>
              </w:rPr>
            </w:pPr>
            <w:r>
              <w:rPr>
                <w:rFonts w:hint="eastAsia"/>
                <w:color w:val="000000"/>
                <w:kern w:val="0"/>
                <w:sz w:val="21"/>
                <w:szCs w:val="21"/>
              </w:rPr>
              <w:t>生产精细化学品的化工企业</w:t>
            </w:r>
          </w:p>
        </w:tc>
        <w:tc>
          <w:tcPr>
            <w:tcW w:w="2716" w:type="dxa"/>
            <w:vAlign w:val="center"/>
          </w:tcPr>
          <w:p>
            <w:pPr>
              <w:widowControl/>
              <w:spacing w:line="220" w:lineRule="exact"/>
              <w:ind w:firstLine="0" w:firstLineChars="0"/>
              <w:jc w:val="left"/>
              <w:textAlignment w:val="center"/>
              <w:rPr>
                <w:color w:val="000000"/>
                <w:kern w:val="0"/>
                <w:sz w:val="21"/>
                <w:szCs w:val="21"/>
              </w:rPr>
            </w:pPr>
            <w:r>
              <w:rPr>
                <w:rFonts w:hint="eastAsia"/>
                <w:color w:val="000000"/>
                <w:kern w:val="0"/>
                <w:sz w:val="21"/>
                <w:szCs w:val="21"/>
              </w:rPr>
              <w:t>可能引发人身伤亡、中毒、爆炸火灾等重大安全事故、造成重大经济损失和严重环境污染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widowControl/>
              <w:ind w:firstLine="0" w:firstLineChars="0"/>
              <w:jc w:val="center"/>
              <w:textAlignment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7</w:t>
            </w:r>
          </w:p>
        </w:tc>
        <w:tc>
          <w:tcPr>
            <w:tcW w:w="900" w:type="dxa"/>
            <w:vMerge w:val="continue"/>
            <w:vAlign w:val="center"/>
          </w:tcPr>
          <w:p>
            <w:pPr>
              <w:widowControl/>
              <w:ind w:firstLine="0" w:firstLineChars="0"/>
              <w:jc w:val="left"/>
              <w:textAlignment w:val="center"/>
              <w:rPr>
                <w:color w:val="000000"/>
                <w:kern w:val="0"/>
                <w:sz w:val="21"/>
                <w:szCs w:val="21"/>
              </w:rPr>
            </w:pPr>
          </w:p>
        </w:tc>
        <w:tc>
          <w:tcPr>
            <w:tcW w:w="1691" w:type="dxa"/>
            <w:vAlign w:val="center"/>
          </w:tcPr>
          <w:p>
            <w:pPr>
              <w:widowControl/>
              <w:ind w:firstLine="0" w:firstLineChars="0"/>
              <w:jc w:val="left"/>
              <w:textAlignment w:val="center"/>
              <w:rPr>
                <w:color w:val="000000"/>
                <w:kern w:val="0"/>
                <w:sz w:val="21"/>
                <w:szCs w:val="21"/>
              </w:rPr>
            </w:pPr>
            <w:r>
              <w:rPr>
                <w:rFonts w:ascii="Times New Roman" w:hAnsi="Times New Roman" w:cs="Times New Roman"/>
                <w:color w:val="000000"/>
                <w:kern w:val="0"/>
                <w:sz w:val="21"/>
                <w:szCs w:val="21"/>
              </w:rPr>
              <w:t>[A3]</w:t>
            </w:r>
            <w:r>
              <w:rPr>
                <w:rFonts w:hint="eastAsia"/>
                <w:color w:val="000000"/>
                <w:kern w:val="0"/>
                <w:sz w:val="21"/>
                <w:szCs w:val="21"/>
              </w:rPr>
              <w:t>冶金</w:t>
            </w:r>
          </w:p>
        </w:tc>
        <w:tc>
          <w:tcPr>
            <w:tcW w:w="3118" w:type="dxa"/>
            <w:vAlign w:val="center"/>
          </w:tcPr>
          <w:p>
            <w:pPr>
              <w:widowControl/>
              <w:spacing w:line="220" w:lineRule="exact"/>
              <w:ind w:firstLine="0" w:firstLineChars="0"/>
              <w:jc w:val="left"/>
              <w:textAlignment w:val="center"/>
              <w:rPr>
                <w:color w:val="000000"/>
                <w:kern w:val="0"/>
                <w:sz w:val="21"/>
                <w:szCs w:val="21"/>
              </w:rPr>
            </w:pPr>
            <w:r>
              <w:rPr>
                <w:rFonts w:hint="eastAsia"/>
                <w:color w:val="000000"/>
                <w:kern w:val="0"/>
                <w:sz w:val="21"/>
                <w:szCs w:val="21"/>
              </w:rPr>
              <w:t>黑色金属和有色金属的冶炼和加工企业</w:t>
            </w:r>
          </w:p>
        </w:tc>
        <w:tc>
          <w:tcPr>
            <w:tcW w:w="2716" w:type="dxa"/>
            <w:vAlign w:val="center"/>
          </w:tcPr>
          <w:p>
            <w:pPr>
              <w:widowControl/>
              <w:spacing w:line="220" w:lineRule="exact"/>
              <w:ind w:firstLine="0" w:firstLineChars="0"/>
              <w:jc w:val="left"/>
              <w:textAlignment w:val="center"/>
              <w:rPr>
                <w:color w:val="000000"/>
                <w:kern w:val="0"/>
                <w:sz w:val="21"/>
                <w:szCs w:val="21"/>
              </w:rPr>
            </w:pPr>
            <w:r>
              <w:rPr>
                <w:rFonts w:hint="eastAsia"/>
                <w:color w:val="000000"/>
                <w:kern w:val="0"/>
                <w:sz w:val="21"/>
                <w:szCs w:val="21"/>
              </w:rPr>
              <w:t>可能引发人身伤亡、中毒、爆炸火灾等重大安全事故、造成重大经济损失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widowControl/>
              <w:ind w:firstLine="0" w:firstLineChars="0"/>
              <w:jc w:val="center"/>
              <w:textAlignment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8</w:t>
            </w:r>
          </w:p>
        </w:tc>
        <w:tc>
          <w:tcPr>
            <w:tcW w:w="900" w:type="dxa"/>
            <w:vMerge w:val="continue"/>
            <w:vAlign w:val="center"/>
          </w:tcPr>
          <w:p>
            <w:pPr>
              <w:widowControl/>
              <w:ind w:firstLine="0" w:firstLineChars="0"/>
              <w:jc w:val="left"/>
              <w:textAlignment w:val="center"/>
              <w:rPr>
                <w:color w:val="000000"/>
                <w:kern w:val="0"/>
                <w:sz w:val="21"/>
                <w:szCs w:val="21"/>
              </w:rPr>
            </w:pPr>
          </w:p>
        </w:tc>
        <w:tc>
          <w:tcPr>
            <w:tcW w:w="1691" w:type="dxa"/>
            <w:vAlign w:val="center"/>
          </w:tcPr>
          <w:p>
            <w:pPr>
              <w:widowControl/>
              <w:ind w:firstLine="0" w:firstLineChars="0"/>
              <w:jc w:val="left"/>
              <w:textAlignment w:val="center"/>
              <w:rPr>
                <w:color w:val="000000"/>
                <w:kern w:val="0"/>
                <w:sz w:val="21"/>
                <w:szCs w:val="21"/>
              </w:rPr>
            </w:pPr>
            <w:r>
              <w:rPr>
                <w:rFonts w:ascii="Times New Roman" w:hAnsi="Times New Roman" w:cs="Times New Roman"/>
                <w:color w:val="000000"/>
                <w:kern w:val="0"/>
                <w:sz w:val="21"/>
                <w:szCs w:val="21"/>
              </w:rPr>
              <w:t>[A4]</w:t>
            </w:r>
            <w:r>
              <w:rPr>
                <w:rFonts w:hint="eastAsia"/>
                <w:color w:val="000000"/>
                <w:kern w:val="0"/>
                <w:sz w:val="21"/>
                <w:szCs w:val="21"/>
              </w:rPr>
              <w:t>制造业</w:t>
            </w:r>
          </w:p>
        </w:tc>
        <w:tc>
          <w:tcPr>
            <w:tcW w:w="3118" w:type="dxa"/>
            <w:vAlign w:val="center"/>
          </w:tcPr>
          <w:p>
            <w:pPr>
              <w:widowControl/>
              <w:spacing w:line="220" w:lineRule="exact"/>
              <w:ind w:firstLine="0" w:firstLineChars="0"/>
              <w:jc w:val="left"/>
              <w:textAlignment w:val="center"/>
              <w:rPr>
                <w:color w:val="000000"/>
                <w:kern w:val="0"/>
                <w:sz w:val="21"/>
                <w:szCs w:val="21"/>
              </w:rPr>
            </w:pPr>
            <w:r>
              <w:rPr>
                <w:rFonts w:hint="eastAsia"/>
                <w:color w:val="000000"/>
                <w:kern w:val="0"/>
                <w:sz w:val="21"/>
                <w:szCs w:val="21"/>
              </w:rPr>
              <w:t>汽车、造船、飞行器、发电机、锅炉、汽轮机、机车、机床加工等机械制造和电子企业</w:t>
            </w:r>
          </w:p>
        </w:tc>
        <w:tc>
          <w:tcPr>
            <w:tcW w:w="2716" w:type="dxa"/>
            <w:vAlign w:val="center"/>
          </w:tcPr>
          <w:p>
            <w:pPr>
              <w:widowControl/>
              <w:spacing w:line="220" w:lineRule="exact"/>
              <w:ind w:firstLine="0" w:firstLineChars="0"/>
              <w:jc w:val="left"/>
              <w:textAlignment w:val="center"/>
              <w:rPr>
                <w:color w:val="000000"/>
                <w:kern w:val="0"/>
                <w:sz w:val="21"/>
                <w:szCs w:val="21"/>
              </w:rPr>
            </w:pPr>
            <w:r>
              <w:rPr>
                <w:rFonts w:hint="eastAsia"/>
                <w:color w:val="000000"/>
                <w:kern w:val="0"/>
                <w:sz w:val="21"/>
                <w:szCs w:val="21"/>
              </w:rPr>
              <w:t>可能引发人身伤亡、造成重大经济损失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widowControl/>
              <w:ind w:firstLine="0" w:firstLineChars="0"/>
              <w:jc w:val="center"/>
              <w:textAlignment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9</w:t>
            </w:r>
          </w:p>
        </w:tc>
        <w:tc>
          <w:tcPr>
            <w:tcW w:w="900" w:type="dxa"/>
            <w:vMerge w:val="continue"/>
            <w:vAlign w:val="center"/>
          </w:tcPr>
          <w:p>
            <w:pPr>
              <w:widowControl/>
              <w:ind w:firstLine="0" w:firstLineChars="0"/>
              <w:jc w:val="left"/>
              <w:textAlignment w:val="center"/>
              <w:rPr>
                <w:color w:val="000000"/>
                <w:kern w:val="0"/>
                <w:sz w:val="21"/>
                <w:szCs w:val="21"/>
              </w:rPr>
            </w:pPr>
          </w:p>
        </w:tc>
        <w:tc>
          <w:tcPr>
            <w:tcW w:w="1691" w:type="dxa"/>
            <w:vAlign w:val="center"/>
          </w:tcPr>
          <w:p>
            <w:pPr>
              <w:widowControl/>
              <w:ind w:firstLine="0" w:firstLineChars="0"/>
              <w:jc w:val="left"/>
              <w:textAlignment w:val="center"/>
              <w:rPr>
                <w:color w:val="000000"/>
                <w:kern w:val="0"/>
                <w:sz w:val="21"/>
                <w:szCs w:val="21"/>
              </w:rPr>
            </w:pPr>
            <w:r>
              <w:rPr>
                <w:rFonts w:ascii="Times New Roman" w:hAnsi="Times New Roman" w:cs="Times New Roman"/>
                <w:color w:val="000000"/>
                <w:kern w:val="0"/>
                <w:sz w:val="21"/>
                <w:szCs w:val="21"/>
              </w:rPr>
              <w:t>[A5]</w:t>
            </w:r>
            <w:r>
              <w:rPr>
                <w:rFonts w:hint="eastAsia"/>
                <w:color w:val="000000"/>
                <w:kern w:val="0"/>
                <w:sz w:val="21"/>
                <w:szCs w:val="21"/>
              </w:rPr>
              <w:t>军工</w:t>
            </w:r>
          </w:p>
        </w:tc>
        <w:tc>
          <w:tcPr>
            <w:tcW w:w="3118" w:type="dxa"/>
            <w:vAlign w:val="center"/>
          </w:tcPr>
          <w:p>
            <w:pPr>
              <w:widowControl/>
              <w:spacing w:line="220" w:lineRule="exact"/>
              <w:ind w:firstLine="0" w:firstLineChars="0"/>
              <w:jc w:val="left"/>
              <w:textAlignment w:val="center"/>
              <w:rPr>
                <w:color w:val="000000"/>
                <w:kern w:val="0"/>
                <w:sz w:val="21"/>
                <w:szCs w:val="21"/>
              </w:rPr>
            </w:pPr>
            <w:r>
              <w:rPr>
                <w:rFonts w:hint="eastAsia"/>
                <w:color w:val="000000"/>
                <w:kern w:val="0"/>
                <w:sz w:val="21"/>
                <w:szCs w:val="21"/>
              </w:rPr>
              <w:t>航天航空、国防试验基地、危险性军工生产企业</w:t>
            </w:r>
          </w:p>
        </w:tc>
        <w:tc>
          <w:tcPr>
            <w:tcW w:w="2716" w:type="dxa"/>
            <w:vAlign w:val="center"/>
          </w:tcPr>
          <w:p>
            <w:pPr>
              <w:widowControl/>
              <w:spacing w:line="220" w:lineRule="exact"/>
              <w:ind w:firstLine="0" w:firstLineChars="0"/>
              <w:jc w:val="left"/>
              <w:textAlignment w:val="center"/>
              <w:rPr>
                <w:color w:val="000000"/>
                <w:kern w:val="0"/>
                <w:sz w:val="21"/>
                <w:szCs w:val="21"/>
              </w:rPr>
            </w:pPr>
            <w:r>
              <w:rPr>
                <w:rFonts w:hint="eastAsia"/>
                <w:color w:val="000000"/>
                <w:kern w:val="0"/>
                <w:sz w:val="21"/>
                <w:szCs w:val="21"/>
              </w:rPr>
              <w:t>可能造成重大政治影响和重大社会影响、可能引发人身伤亡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widowControl/>
              <w:ind w:firstLine="0" w:firstLineChars="0"/>
              <w:jc w:val="center"/>
              <w:textAlignment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10</w:t>
            </w:r>
          </w:p>
        </w:tc>
        <w:tc>
          <w:tcPr>
            <w:tcW w:w="900" w:type="dxa"/>
            <w:vMerge w:val="restart"/>
            <w:vAlign w:val="center"/>
          </w:tcPr>
          <w:p>
            <w:pPr>
              <w:widowControl/>
              <w:ind w:firstLine="0" w:firstLineChars="0"/>
              <w:jc w:val="center"/>
              <w:textAlignment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[B]</w:t>
            </w:r>
          </w:p>
          <w:p>
            <w:pPr>
              <w:widowControl/>
              <w:ind w:firstLine="0" w:firstLineChars="0"/>
              <w:jc w:val="center"/>
              <w:textAlignment w:val="center"/>
              <w:rPr>
                <w:color w:val="000000"/>
                <w:kern w:val="0"/>
                <w:sz w:val="21"/>
                <w:szCs w:val="21"/>
              </w:rPr>
            </w:pPr>
            <w:r>
              <w:rPr>
                <w:rFonts w:hint="eastAsia"/>
                <w:color w:val="000000"/>
                <w:kern w:val="0"/>
                <w:sz w:val="21"/>
                <w:szCs w:val="21"/>
              </w:rPr>
              <w:t>社会类</w:t>
            </w:r>
          </w:p>
        </w:tc>
        <w:tc>
          <w:tcPr>
            <w:tcW w:w="1691" w:type="dxa"/>
            <w:vAlign w:val="center"/>
          </w:tcPr>
          <w:p>
            <w:pPr>
              <w:widowControl/>
              <w:ind w:firstLine="0" w:firstLineChars="0"/>
              <w:jc w:val="left"/>
              <w:textAlignment w:val="center"/>
              <w:rPr>
                <w:color w:val="000000"/>
                <w:kern w:val="0"/>
                <w:sz w:val="21"/>
                <w:szCs w:val="21"/>
              </w:rPr>
            </w:pPr>
            <w:r>
              <w:rPr>
                <w:rFonts w:ascii="Times New Roman" w:hAnsi="Times New Roman" w:cs="Times New Roman"/>
                <w:color w:val="000000"/>
                <w:kern w:val="0"/>
                <w:sz w:val="21"/>
                <w:szCs w:val="21"/>
              </w:rPr>
              <w:t>[B1]</w:t>
            </w:r>
            <w:r>
              <w:rPr>
                <w:rFonts w:hint="eastAsia"/>
                <w:color w:val="000000"/>
                <w:kern w:val="0"/>
                <w:sz w:val="21"/>
                <w:szCs w:val="21"/>
              </w:rPr>
              <w:t>党政司法机关、国际组织、各类应急指挥中心</w:t>
            </w:r>
          </w:p>
        </w:tc>
        <w:tc>
          <w:tcPr>
            <w:tcW w:w="3118" w:type="dxa"/>
            <w:vAlign w:val="center"/>
          </w:tcPr>
          <w:p>
            <w:pPr>
              <w:widowControl/>
              <w:spacing w:line="220" w:lineRule="exact"/>
              <w:ind w:firstLine="0" w:firstLineChars="0"/>
              <w:jc w:val="left"/>
              <w:textAlignment w:val="center"/>
              <w:rPr>
                <w:color w:val="000000"/>
                <w:kern w:val="0"/>
                <w:sz w:val="21"/>
                <w:szCs w:val="21"/>
              </w:rPr>
            </w:pPr>
            <w:r>
              <w:rPr>
                <w:rFonts w:hint="eastAsia"/>
                <w:color w:val="000000"/>
                <w:kern w:val="0"/>
                <w:sz w:val="21"/>
                <w:szCs w:val="21"/>
              </w:rPr>
              <w:t>国家级首脑机关的办公地点，外国驻华使馆及外交机构，省级党政机关、地市级党政机关和一些重要的涉外组织；以及省级气象监测指挥和预报中心、电力调度中心、重要水利大坝、重要的防汛防洪闸门、排涝站、地震监测指挥预报中心、防汛防灾等应急指挥中心、消防（含森林灭火）指挥中心、交通指挥中心、公安监控指挥中心等重要应急指挥中心、人民防空指挥中心</w:t>
            </w:r>
          </w:p>
        </w:tc>
        <w:tc>
          <w:tcPr>
            <w:tcW w:w="2716" w:type="dxa"/>
            <w:vAlign w:val="center"/>
          </w:tcPr>
          <w:p>
            <w:pPr>
              <w:widowControl/>
              <w:spacing w:line="220" w:lineRule="exact"/>
              <w:ind w:firstLine="0" w:firstLineChars="0"/>
              <w:jc w:val="left"/>
              <w:textAlignment w:val="center"/>
              <w:rPr>
                <w:color w:val="000000"/>
                <w:kern w:val="0"/>
                <w:sz w:val="21"/>
                <w:szCs w:val="21"/>
              </w:rPr>
            </w:pPr>
            <w:r>
              <w:rPr>
                <w:rFonts w:hint="eastAsia"/>
                <w:color w:val="000000"/>
                <w:kern w:val="0"/>
                <w:sz w:val="21"/>
                <w:szCs w:val="21"/>
              </w:rPr>
              <w:t>可能造成重大政治影响和重大社会影响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widowControl/>
              <w:ind w:firstLine="0" w:firstLineChars="0"/>
              <w:jc w:val="center"/>
              <w:textAlignment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11</w:t>
            </w:r>
          </w:p>
        </w:tc>
        <w:tc>
          <w:tcPr>
            <w:tcW w:w="900" w:type="dxa"/>
            <w:vMerge w:val="continue"/>
            <w:vAlign w:val="center"/>
          </w:tcPr>
          <w:p>
            <w:pPr>
              <w:widowControl/>
              <w:ind w:firstLine="0" w:firstLineChars="0"/>
              <w:jc w:val="left"/>
              <w:textAlignment w:val="center"/>
              <w:rPr>
                <w:color w:val="000000"/>
                <w:kern w:val="0"/>
                <w:sz w:val="21"/>
                <w:szCs w:val="21"/>
              </w:rPr>
            </w:pPr>
          </w:p>
        </w:tc>
        <w:tc>
          <w:tcPr>
            <w:tcW w:w="1691" w:type="dxa"/>
            <w:vAlign w:val="center"/>
          </w:tcPr>
          <w:p>
            <w:pPr>
              <w:widowControl/>
              <w:ind w:firstLine="0" w:firstLineChars="0"/>
              <w:jc w:val="left"/>
              <w:textAlignment w:val="center"/>
              <w:rPr>
                <w:color w:val="000000"/>
                <w:kern w:val="0"/>
                <w:sz w:val="21"/>
                <w:szCs w:val="21"/>
              </w:rPr>
            </w:pPr>
            <w:r>
              <w:rPr>
                <w:rFonts w:ascii="Times New Roman" w:hAnsi="Times New Roman" w:cs="Times New Roman"/>
                <w:color w:val="000000"/>
                <w:kern w:val="0"/>
                <w:sz w:val="21"/>
                <w:szCs w:val="21"/>
              </w:rPr>
              <w:t>[B2]</w:t>
            </w:r>
            <w:r>
              <w:rPr>
                <w:rFonts w:hint="eastAsia"/>
                <w:color w:val="000000"/>
                <w:kern w:val="0"/>
                <w:sz w:val="21"/>
                <w:szCs w:val="21"/>
              </w:rPr>
              <w:t>通信</w:t>
            </w:r>
          </w:p>
        </w:tc>
        <w:tc>
          <w:tcPr>
            <w:tcW w:w="3118" w:type="dxa"/>
            <w:vAlign w:val="center"/>
          </w:tcPr>
          <w:p>
            <w:pPr>
              <w:snapToGrid w:val="0"/>
              <w:spacing w:line="220" w:lineRule="exact"/>
              <w:ind w:firstLine="0" w:firstLineChars="0"/>
              <w:jc w:val="left"/>
              <w:rPr>
                <w:color w:val="000000"/>
                <w:kern w:val="0"/>
                <w:sz w:val="21"/>
                <w:szCs w:val="21"/>
              </w:rPr>
            </w:pPr>
            <w:r>
              <w:rPr>
                <w:rFonts w:hint="eastAsia"/>
                <w:color w:val="000000"/>
                <w:kern w:val="0"/>
                <w:sz w:val="21"/>
                <w:szCs w:val="21"/>
              </w:rPr>
              <w:t>国家级和省级的枢纽、容灾备份中心、省会级枢纽、长途通信楼、核心网局、互联网安全中心、省级</w:t>
            </w:r>
            <w:r>
              <w:rPr>
                <w:rFonts w:ascii="Times New Roman" w:hAnsi="Times New Roman" w:cs="Times New Roman"/>
                <w:color w:val="000000"/>
                <w:kern w:val="0"/>
                <w:sz w:val="21"/>
                <w:szCs w:val="21"/>
              </w:rPr>
              <w:t>IDC</w:t>
            </w:r>
            <w:r>
              <w:rPr>
                <w:rFonts w:hint="eastAsia"/>
                <w:color w:val="000000"/>
                <w:kern w:val="0"/>
                <w:sz w:val="21"/>
                <w:szCs w:val="21"/>
              </w:rPr>
              <w:t>数据机房、网管计费中心、国际关口局、卫星地球站</w:t>
            </w:r>
          </w:p>
        </w:tc>
        <w:tc>
          <w:tcPr>
            <w:tcW w:w="2716" w:type="dxa"/>
            <w:vAlign w:val="center"/>
          </w:tcPr>
          <w:p>
            <w:pPr>
              <w:snapToGrid w:val="0"/>
              <w:spacing w:line="220" w:lineRule="exact"/>
              <w:ind w:firstLine="0" w:firstLineChars="0"/>
              <w:jc w:val="left"/>
              <w:rPr>
                <w:color w:val="000000"/>
                <w:kern w:val="0"/>
                <w:sz w:val="21"/>
                <w:szCs w:val="21"/>
              </w:rPr>
            </w:pPr>
            <w:r>
              <w:rPr>
                <w:rFonts w:hint="eastAsia"/>
                <w:sz w:val="21"/>
                <w:szCs w:val="21"/>
              </w:rPr>
              <w:t>可能造成大的社会影响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widowControl/>
              <w:ind w:firstLine="0" w:firstLineChars="0"/>
              <w:jc w:val="center"/>
              <w:textAlignment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12</w:t>
            </w:r>
          </w:p>
        </w:tc>
        <w:tc>
          <w:tcPr>
            <w:tcW w:w="900" w:type="dxa"/>
            <w:vMerge w:val="continue"/>
            <w:vAlign w:val="center"/>
          </w:tcPr>
          <w:p>
            <w:pPr>
              <w:widowControl/>
              <w:ind w:firstLine="0" w:firstLineChars="0"/>
              <w:jc w:val="left"/>
              <w:textAlignment w:val="center"/>
              <w:rPr>
                <w:color w:val="000000"/>
                <w:kern w:val="0"/>
                <w:sz w:val="21"/>
                <w:szCs w:val="21"/>
              </w:rPr>
            </w:pPr>
          </w:p>
        </w:tc>
        <w:tc>
          <w:tcPr>
            <w:tcW w:w="1691" w:type="dxa"/>
            <w:vAlign w:val="center"/>
          </w:tcPr>
          <w:p>
            <w:pPr>
              <w:widowControl/>
              <w:ind w:firstLine="0" w:firstLineChars="0"/>
              <w:jc w:val="left"/>
              <w:textAlignment w:val="center"/>
              <w:rPr>
                <w:color w:val="000000"/>
                <w:kern w:val="0"/>
                <w:sz w:val="21"/>
                <w:szCs w:val="21"/>
              </w:rPr>
            </w:pPr>
            <w:r>
              <w:rPr>
                <w:rFonts w:hint="eastAsia"/>
                <w:color w:val="000000"/>
                <w:kern w:val="0"/>
                <w:sz w:val="21"/>
                <w:szCs w:val="21"/>
              </w:rPr>
              <w:t>[</w:t>
            </w:r>
            <w:r>
              <w:rPr>
                <w:rFonts w:ascii="Times New Roman" w:hAnsi="Times New Roman" w:cs="Times New Roman"/>
                <w:color w:val="000000"/>
                <w:kern w:val="0"/>
                <w:sz w:val="21"/>
                <w:szCs w:val="21"/>
              </w:rPr>
              <w:t>B3</w:t>
            </w:r>
            <w:r>
              <w:rPr>
                <w:rFonts w:hint="eastAsia"/>
                <w:color w:val="000000"/>
                <w:kern w:val="0"/>
                <w:sz w:val="21"/>
                <w:szCs w:val="21"/>
              </w:rPr>
              <w:t>]新闻媒体</w:t>
            </w:r>
          </w:p>
        </w:tc>
        <w:tc>
          <w:tcPr>
            <w:tcW w:w="3118" w:type="dxa"/>
            <w:vAlign w:val="center"/>
          </w:tcPr>
          <w:p>
            <w:pPr>
              <w:snapToGrid w:val="0"/>
              <w:spacing w:line="220" w:lineRule="exact"/>
              <w:ind w:firstLine="0" w:firstLineChars="0"/>
              <w:jc w:val="left"/>
              <w:rPr>
                <w:color w:val="000000"/>
                <w:kern w:val="0"/>
                <w:sz w:val="21"/>
                <w:szCs w:val="21"/>
              </w:rPr>
            </w:pPr>
            <w:r>
              <w:rPr>
                <w:rFonts w:hint="eastAsia"/>
                <w:sz w:val="21"/>
                <w:szCs w:val="21"/>
              </w:rPr>
              <w:t>国家级和省级广播电视机构及广播电台、电视台、无线发射台、监测台,卫星地球站等</w:t>
            </w:r>
          </w:p>
        </w:tc>
        <w:tc>
          <w:tcPr>
            <w:tcW w:w="2716" w:type="dxa"/>
            <w:vAlign w:val="center"/>
          </w:tcPr>
          <w:p>
            <w:pPr>
              <w:snapToGrid w:val="0"/>
              <w:spacing w:line="220" w:lineRule="exact"/>
              <w:ind w:firstLine="0" w:firstLineChars="0"/>
              <w:jc w:val="left"/>
              <w:rPr>
                <w:color w:val="000000"/>
                <w:kern w:val="0"/>
                <w:sz w:val="21"/>
                <w:szCs w:val="21"/>
              </w:rPr>
            </w:pPr>
            <w:r>
              <w:rPr>
                <w:rFonts w:hint="eastAsia"/>
                <w:sz w:val="21"/>
                <w:szCs w:val="21"/>
              </w:rPr>
              <w:t>可能造成大的政治影响和社会影响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widowControl/>
              <w:ind w:firstLine="0" w:firstLineChars="0"/>
              <w:jc w:val="center"/>
              <w:textAlignment w:val="center"/>
              <w:rPr>
                <w:rFonts w:hint="default" w:ascii="Times New Roman" w:hAnsi="Times New Roman" w:eastAsia="仿宋"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13</w:t>
            </w:r>
          </w:p>
        </w:tc>
        <w:tc>
          <w:tcPr>
            <w:tcW w:w="900" w:type="dxa"/>
            <w:vMerge w:val="continue"/>
            <w:vAlign w:val="center"/>
          </w:tcPr>
          <w:p>
            <w:pPr>
              <w:widowControl/>
              <w:ind w:firstLine="0" w:firstLineChars="0"/>
              <w:jc w:val="left"/>
              <w:textAlignment w:val="center"/>
              <w:rPr>
                <w:color w:val="000000"/>
                <w:kern w:val="0"/>
                <w:sz w:val="21"/>
                <w:szCs w:val="21"/>
              </w:rPr>
            </w:pPr>
          </w:p>
        </w:tc>
        <w:tc>
          <w:tcPr>
            <w:tcW w:w="1691" w:type="dxa"/>
            <w:vAlign w:val="center"/>
          </w:tcPr>
          <w:p>
            <w:pPr>
              <w:widowControl/>
              <w:ind w:firstLine="0" w:firstLineChars="0"/>
              <w:jc w:val="left"/>
              <w:textAlignment w:val="center"/>
              <w:rPr>
                <w:color w:val="000000"/>
                <w:kern w:val="0"/>
                <w:sz w:val="21"/>
                <w:szCs w:val="21"/>
              </w:rPr>
            </w:pPr>
            <w:r>
              <w:rPr>
                <w:rFonts w:hint="eastAsia"/>
                <w:color w:val="000000"/>
                <w:kern w:val="0"/>
                <w:sz w:val="21"/>
                <w:szCs w:val="21"/>
              </w:rPr>
              <w:t>[</w:t>
            </w:r>
            <w:r>
              <w:rPr>
                <w:rFonts w:ascii="Times New Roman" w:hAnsi="Times New Roman" w:cs="Times New Roman"/>
                <w:color w:val="000000"/>
                <w:kern w:val="0"/>
                <w:sz w:val="21"/>
                <w:szCs w:val="21"/>
              </w:rPr>
              <w:t>B4.1</w:t>
            </w:r>
            <w:r>
              <w:rPr>
                <w:rFonts w:hint="eastAsia"/>
                <w:color w:val="000000"/>
                <w:kern w:val="0"/>
                <w:sz w:val="21"/>
                <w:szCs w:val="21"/>
              </w:rPr>
              <w:t>]数据中心</w:t>
            </w:r>
          </w:p>
        </w:tc>
        <w:tc>
          <w:tcPr>
            <w:tcW w:w="3118" w:type="dxa"/>
            <w:vAlign w:val="center"/>
          </w:tcPr>
          <w:p>
            <w:pPr>
              <w:snapToGrid w:val="0"/>
              <w:spacing w:line="220" w:lineRule="exact"/>
              <w:ind w:firstLine="0" w:firstLineChars="0"/>
              <w:jc w:val="left"/>
              <w:rPr>
                <w:color w:val="000000"/>
                <w:kern w:val="0"/>
                <w:sz w:val="21"/>
                <w:szCs w:val="21"/>
              </w:rPr>
            </w:pPr>
            <w:r>
              <w:rPr>
                <w:rFonts w:hint="eastAsia"/>
                <w:sz w:val="21"/>
                <w:szCs w:val="21"/>
              </w:rPr>
              <w:t>证券公司、省级证券交易中心</w:t>
            </w:r>
          </w:p>
        </w:tc>
        <w:tc>
          <w:tcPr>
            <w:tcW w:w="2716" w:type="dxa"/>
            <w:vAlign w:val="center"/>
          </w:tcPr>
          <w:p>
            <w:pPr>
              <w:snapToGrid w:val="0"/>
              <w:spacing w:line="220" w:lineRule="exact"/>
              <w:ind w:firstLine="0" w:firstLineChars="0"/>
              <w:jc w:val="left"/>
              <w:rPr>
                <w:color w:val="000000"/>
                <w:kern w:val="0"/>
                <w:sz w:val="21"/>
                <w:szCs w:val="21"/>
              </w:rPr>
            </w:pPr>
            <w:r>
              <w:rPr>
                <w:rFonts w:hint="eastAsia"/>
                <w:sz w:val="21"/>
                <w:szCs w:val="21"/>
              </w:rPr>
              <w:t>可能造成大的经济损失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widowControl/>
              <w:ind w:firstLine="0" w:firstLineChars="0"/>
              <w:jc w:val="center"/>
              <w:textAlignment w:val="center"/>
              <w:rPr>
                <w:rFonts w:hint="default" w:ascii="Times New Roman" w:hAnsi="Times New Roman" w:eastAsia="仿宋"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14</w:t>
            </w:r>
          </w:p>
        </w:tc>
        <w:tc>
          <w:tcPr>
            <w:tcW w:w="900" w:type="dxa"/>
            <w:vMerge w:val="continue"/>
            <w:vAlign w:val="center"/>
          </w:tcPr>
          <w:p>
            <w:pPr>
              <w:widowControl/>
              <w:ind w:firstLine="0" w:firstLineChars="0"/>
              <w:jc w:val="left"/>
              <w:textAlignment w:val="center"/>
              <w:rPr>
                <w:color w:val="000000"/>
                <w:kern w:val="0"/>
                <w:sz w:val="21"/>
                <w:szCs w:val="21"/>
              </w:rPr>
            </w:pPr>
          </w:p>
        </w:tc>
        <w:tc>
          <w:tcPr>
            <w:tcW w:w="1691" w:type="dxa"/>
            <w:vAlign w:val="center"/>
          </w:tcPr>
          <w:p>
            <w:pPr>
              <w:widowControl/>
              <w:ind w:firstLine="0" w:firstLineChars="0"/>
              <w:jc w:val="left"/>
              <w:textAlignment w:val="center"/>
              <w:rPr>
                <w:color w:val="000000"/>
                <w:kern w:val="0"/>
                <w:sz w:val="21"/>
                <w:szCs w:val="21"/>
              </w:rPr>
            </w:pPr>
            <w:r>
              <w:rPr>
                <w:rFonts w:hint="eastAsia"/>
                <w:color w:val="000000"/>
                <w:kern w:val="0"/>
                <w:sz w:val="21"/>
                <w:szCs w:val="21"/>
              </w:rPr>
              <w:t>[</w:t>
            </w:r>
            <w:r>
              <w:rPr>
                <w:rFonts w:ascii="Times New Roman" w:hAnsi="Times New Roman" w:cs="Times New Roman"/>
                <w:color w:val="000000"/>
                <w:kern w:val="0"/>
                <w:sz w:val="21"/>
                <w:szCs w:val="21"/>
              </w:rPr>
              <w:t>B4.2</w:t>
            </w:r>
            <w:r>
              <w:rPr>
                <w:rFonts w:hint="eastAsia"/>
                <w:color w:val="000000"/>
                <w:kern w:val="0"/>
                <w:sz w:val="21"/>
                <w:szCs w:val="21"/>
              </w:rPr>
              <w:t>]金融</w:t>
            </w:r>
          </w:p>
        </w:tc>
        <w:tc>
          <w:tcPr>
            <w:tcW w:w="3118" w:type="dxa"/>
            <w:vAlign w:val="center"/>
          </w:tcPr>
          <w:p>
            <w:pPr>
              <w:snapToGrid w:val="0"/>
              <w:spacing w:line="240" w:lineRule="exact"/>
              <w:ind w:firstLine="0" w:firstLineChars="0"/>
              <w:jc w:val="left"/>
              <w:rPr>
                <w:color w:val="000000"/>
                <w:kern w:val="0"/>
                <w:sz w:val="21"/>
                <w:szCs w:val="21"/>
              </w:rPr>
            </w:pPr>
            <w:r>
              <w:rPr>
                <w:rFonts w:hint="eastAsia"/>
                <w:sz w:val="21"/>
                <w:szCs w:val="21"/>
              </w:rPr>
              <w:t>国家级银行、省级银行一级数据中心、大型电子商务中心和重要场所等</w:t>
            </w:r>
          </w:p>
        </w:tc>
        <w:tc>
          <w:tcPr>
            <w:tcW w:w="2716" w:type="dxa"/>
            <w:vAlign w:val="center"/>
          </w:tcPr>
          <w:p>
            <w:pPr>
              <w:snapToGrid w:val="0"/>
              <w:spacing w:line="220" w:lineRule="exact"/>
              <w:ind w:firstLine="0" w:firstLineChars="0"/>
              <w:jc w:val="left"/>
              <w:rPr>
                <w:color w:val="000000"/>
                <w:kern w:val="0"/>
                <w:sz w:val="21"/>
                <w:szCs w:val="21"/>
              </w:rPr>
            </w:pPr>
            <w:r>
              <w:rPr>
                <w:rFonts w:hint="eastAsia"/>
                <w:sz w:val="21"/>
                <w:szCs w:val="21"/>
              </w:rPr>
              <w:t>可能造成大的经济损失和社会影响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widowControl/>
              <w:ind w:firstLine="0" w:firstLineChars="0"/>
              <w:jc w:val="center"/>
              <w:textAlignment w:val="center"/>
              <w:rPr>
                <w:rFonts w:ascii="Times New Roman" w:hAnsi="Times New Roman" w:eastAsia="仿宋" w:cs="Times New Roman"/>
                <w:color w:val="000000"/>
                <w:kern w:val="0"/>
                <w:sz w:val="21"/>
                <w:szCs w:val="21"/>
                <w:lang w:val="en-US" w:eastAsia="zh-CN" w:bidi="ar-SA"/>
              </w:rPr>
            </w:pPr>
            <w:r>
              <w:rPr>
                <w:rFonts w:ascii="Times New Roman" w:hAnsi="Times New Roman" w:cs="Times New Roman"/>
                <w:color w:val="000000"/>
                <w:kern w:val="0"/>
                <w:sz w:val="21"/>
                <w:szCs w:val="21"/>
              </w:rPr>
              <w:t>15</w:t>
            </w:r>
          </w:p>
        </w:tc>
        <w:tc>
          <w:tcPr>
            <w:tcW w:w="900" w:type="dxa"/>
            <w:vMerge w:val="continue"/>
            <w:vAlign w:val="center"/>
          </w:tcPr>
          <w:p>
            <w:pPr>
              <w:widowControl/>
              <w:ind w:firstLine="0" w:firstLineChars="0"/>
              <w:jc w:val="left"/>
              <w:textAlignment w:val="center"/>
              <w:rPr>
                <w:color w:val="000000"/>
                <w:kern w:val="0"/>
                <w:sz w:val="21"/>
                <w:szCs w:val="21"/>
              </w:rPr>
            </w:pPr>
          </w:p>
        </w:tc>
        <w:tc>
          <w:tcPr>
            <w:tcW w:w="1691" w:type="dxa"/>
            <w:vAlign w:val="center"/>
          </w:tcPr>
          <w:p>
            <w:pPr>
              <w:widowControl/>
              <w:ind w:firstLine="0" w:firstLineChars="0"/>
              <w:jc w:val="left"/>
              <w:textAlignment w:val="center"/>
              <w:rPr>
                <w:color w:val="000000"/>
                <w:kern w:val="0"/>
                <w:sz w:val="21"/>
                <w:szCs w:val="21"/>
              </w:rPr>
            </w:pPr>
            <w:r>
              <w:rPr>
                <w:rFonts w:hint="eastAsia"/>
                <w:color w:val="000000"/>
                <w:kern w:val="0"/>
                <w:sz w:val="21"/>
                <w:szCs w:val="21"/>
              </w:rPr>
              <w:t>[</w:t>
            </w:r>
            <w:r>
              <w:rPr>
                <w:rFonts w:ascii="Times New Roman" w:hAnsi="Times New Roman" w:cs="Times New Roman"/>
                <w:color w:val="000000"/>
                <w:kern w:val="0"/>
                <w:sz w:val="21"/>
                <w:szCs w:val="21"/>
              </w:rPr>
              <w:t>B5.1</w:t>
            </w:r>
            <w:r>
              <w:rPr>
                <w:rFonts w:hint="eastAsia"/>
                <w:color w:val="000000"/>
                <w:kern w:val="0"/>
                <w:sz w:val="21"/>
                <w:szCs w:val="21"/>
              </w:rPr>
              <w:t>]供水、供热</w:t>
            </w:r>
          </w:p>
        </w:tc>
        <w:tc>
          <w:tcPr>
            <w:tcW w:w="3118" w:type="dxa"/>
            <w:vAlign w:val="center"/>
          </w:tcPr>
          <w:p>
            <w:pPr>
              <w:snapToGrid w:val="0"/>
              <w:spacing w:line="240" w:lineRule="exact"/>
              <w:ind w:firstLine="0" w:firstLineChars="0"/>
              <w:jc w:val="left"/>
              <w:rPr>
                <w:color w:val="000000"/>
                <w:kern w:val="0"/>
                <w:sz w:val="21"/>
                <w:szCs w:val="21"/>
              </w:rPr>
            </w:pPr>
            <w:r>
              <w:rPr>
                <w:rFonts w:hint="eastAsia"/>
                <w:sz w:val="21"/>
                <w:szCs w:val="21"/>
              </w:rPr>
              <w:t>供水面积大的大、中型水厂（用水泵进行取水）、重要的加压站以及大型供热厂</w:t>
            </w:r>
          </w:p>
        </w:tc>
        <w:tc>
          <w:tcPr>
            <w:tcW w:w="2716" w:type="dxa"/>
            <w:vAlign w:val="center"/>
          </w:tcPr>
          <w:p>
            <w:pPr>
              <w:snapToGrid w:val="0"/>
              <w:spacing w:line="220" w:lineRule="exact"/>
              <w:ind w:firstLine="0" w:firstLineChars="0"/>
              <w:jc w:val="left"/>
              <w:rPr>
                <w:color w:val="000000"/>
                <w:kern w:val="0"/>
                <w:sz w:val="21"/>
                <w:szCs w:val="21"/>
              </w:rPr>
            </w:pPr>
            <w:r>
              <w:rPr>
                <w:rFonts w:hint="eastAsia"/>
                <w:sz w:val="21"/>
                <w:szCs w:val="21"/>
              </w:rPr>
              <w:t>可能造成社会公共秩序混乱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widowControl/>
              <w:ind w:firstLine="0" w:firstLineChars="0"/>
              <w:jc w:val="center"/>
              <w:textAlignment w:val="center"/>
              <w:rPr>
                <w:rFonts w:ascii="Times New Roman" w:hAnsi="Times New Roman" w:eastAsia="仿宋" w:cs="Times New Roman"/>
                <w:color w:val="000000"/>
                <w:kern w:val="0"/>
                <w:sz w:val="21"/>
                <w:szCs w:val="21"/>
                <w:lang w:val="en-US" w:eastAsia="zh-CN" w:bidi="ar-SA"/>
              </w:rPr>
            </w:pPr>
            <w:r>
              <w:rPr>
                <w:rFonts w:ascii="Times New Roman" w:hAnsi="Times New Roman" w:cs="Times New Roman"/>
                <w:color w:val="000000"/>
                <w:kern w:val="0"/>
                <w:sz w:val="21"/>
                <w:szCs w:val="21"/>
              </w:rPr>
              <w:t>16</w:t>
            </w:r>
          </w:p>
        </w:tc>
        <w:tc>
          <w:tcPr>
            <w:tcW w:w="900" w:type="dxa"/>
            <w:vMerge w:val="continue"/>
            <w:vAlign w:val="center"/>
          </w:tcPr>
          <w:p>
            <w:pPr>
              <w:widowControl/>
              <w:ind w:firstLine="0" w:firstLineChars="0"/>
              <w:jc w:val="left"/>
              <w:textAlignment w:val="center"/>
              <w:rPr>
                <w:color w:val="000000"/>
                <w:kern w:val="0"/>
                <w:sz w:val="21"/>
                <w:szCs w:val="21"/>
              </w:rPr>
            </w:pPr>
          </w:p>
        </w:tc>
        <w:tc>
          <w:tcPr>
            <w:tcW w:w="1691" w:type="dxa"/>
            <w:vAlign w:val="center"/>
          </w:tcPr>
          <w:p>
            <w:pPr>
              <w:widowControl/>
              <w:ind w:firstLine="0" w:firstLineChars="0"/>
              <w:jc w:val="left"/>
              <w:textAlignment w:val="center"/>
              <w:rPr>
                <w:color w:val="000000"/>
                <w:kern w:val="0"/>
                <w:sz w:val="21"/>
                <w:szCs w:val="21"/>
              </w:rPr>
            </w:pPr>
            <w:r>
              <w:rPr>
                <w:rFonts w:hint="eastAsia"/>
                <w:color w:val="000000"/>
                <w:kern w:val="0"/>
                <w:sz w:val="21"/>
                <w:szCs w:val="21"/>
              </w:rPr>
              <w:t>[</w:t>
            </w:r>
            <w:r>
              <w:rPr>
                <w:rFonts w:ascii="Times New Roman" w:hAnsi="Times New Roman" w:cs="Times New Roman"/>
                <w:color w:val="000000"/>
                <w:kern w:val="0"/>
                <w:sz w:val="21"/>
                <w:szCs w:val="21"/>
              </w:rPr>
              <w:t>B5.2</w:t>
            </w:r>
            <w:r>
              <w:rPr>
                <w:rFonts w:hint="eastAsia"/>
                <w:color w:val="000000"/>
                <w:kern w:val="0"/>
                <w:sz w:val="21"/>
                <w:szCs w:val="21"/>
              </w:rPr>
              <w:t>]污水处理</w:t>
            </w:r>
          </w:p>
        </w:tc>
        <w:tc>
          <w:tcPr>
            <w:tcW w:w="3118" w:type="dxa"/>
            <w:vAlign w:val="center"/>
          </w:tcPr>
          <w:p>
            <w:pPr>
              <w:snapToGrid w:val="0"/>
              <w:spacing w:line="240" w:lineRule="exact"/>
              <w:ind w:firstLine="0" w:firstLineChars="0"/>
              <w:jc w:val="left"/>
              <w:rPr>
                <w:color w:val="000000"/>
                <w:kern w:val="0"/>
                <w:sz w:val="21"/>
                <w:szCs w:val="21"/>
              </w:rPr>
            </w:pPr>
            <w:r>
              <w:rPr>
                <w:rFonts w:hint="eastAsia"/>
                <w:sz w:val="21"/>
                <w:szCs w:val="21"/>
              </w:rPr>
              <w:t>国家一级污水处理厂、大中型污水处理厂</w:t>
            </w:r>
          </w:p>
        </w:tc>
        <w:tc>
          <w:tcPr>
            <w:tcW w:w="2716" w:type="dxa"/>
            <w:vAlign w:val="center"/>
          </w:tcPr>
          <w:p>
            <w:pPr>
              <w:snapToGrid w:val="0"/>
              <w:spacing w:line="220" w:lineRule="exact"/>
              <w:ind w:firstLine="0" w:firstLineChars="0"/>
              <w:jc w:val="left"/>
              <w:rPr>
                <w:color w:val="000000"/>
                <w:kern w:val="0"/>
                <w:sz w:val="21"/>
                <w:szCs w:val="21"/>
              </w:rPr>
            </w:pPr>
            <w:r>
              <w:rPr>
                <w:rFonts w:hint="eastAsia"/>
                <w:sz w:val="21"/>
                <w:szCs w:val="21"/>
              </w:rPr>
              <w:t>可能造成环境污染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widowControl/>
              <w:ind w:firstLine="0" w:firstLineChars="0"/>
              <w:jc w:val="center"/>
              <w:textAlignment w:val="center"/>
              <w:rPr>
                <w:rFonts w:ascii="Times New Roman" w:hAnsi="Times New Roman" w:eastAsia="仿宋" w:cs="Times New Roman"/>
                <w:color w:val="000000"/>
                <w:kern w:val="0"/>
                <w:sz w:val="21"/>
                <w:szCs w:val="21"/>
                <w:lang w:val="en-US" w:eastAsia="zh-CN" w:bidi="ar-SA"/>
              </w:rPr>
            </w:pPr>
            <w:r>
              <w:rPr>
                <w:rFonts w:ascii="Times New Roman" w:hAnsi="Times New Roman" w:cs="Times New Roman"/>
                <w:color w:val="000000"/>
                <w:kern w:val="0"/>
                <w:sz w:val="21"/>
                <w:szCs w:val="21"/>
              </w:rPr>
              <w:t>17</w:t>
            </w:r>
          </w:p>
        </w:tc>
        <w:tc>
          <w:tcPr>
            <w:tcW w:w="900" w:type="dxa"/>
            <w:vMerge w:val="continue"/>
            <w:vAlign w:val="center"/>
          </w:tcPr>
          <w:p>
            <w:pPr>
              <w:widowControl/>
              <w:ind w:firstLine="0" w:firstLineChars="0"/>
              <w:jc w:val="left"/>
              <w:textAlignment w:val="center"/>
              <w:rPr>
                <w:color w:val="000000"/>
                <w:kern w:val="0"/>
                <w:sz w:val="21"/>
                <w:szCs w:val="21"/>
              </w:rPr>
            </w:pPr>
          </w:p>
        </w:tc>
        <w:tc>
          <w:tcPr>
            <w:tcW w:w="1691" w:type="dxa"/>
            <w:vAlign w:val="center"/>
          </w:tcPr>
          <w:p>
            <w:pPr>
              <w:widowControl/>
              <w:ind w:firstLine="0" w:firstLineChars="0"/>
              <w:jc w:val="left"/>
              <w:textAlignment w:val="center"/>
              <w:rPr>
                <w:color w:val="000000"/>
                <w:kern w:val="0"/>
                <w:sz w:val="21"/>
                <w:szCs w:val="21"/>
              </w:rPr>
            </w:pPr>
            <w:r>
              <w:rPr>
                <w:rFonts w:ascii="Times New Roman" w:hAnsi="Times New Roman" w:cs="Times New Roman"/>
                <w:color w:val="000000"/>
                <w:kern w:val="0"/>
                <w:sz w:val="21"/>
                <w:szCs w:val="21"/>
              </w:rPr>
              <w:t>[B5.3]</w:t>
            </w:r>
            <w:r>
              <w:rPr>
                <w:rFonts w:hint="eastAsia"/>
                <w:color w:val="000000"/>
                <w:kern w:val="0"/>
                <w:sz w:val="21"/>
                <w:szCs w:val="21"/>
              </w:rPr>
              <w:t>供气</w:t>
            </w:r>
          </w:p>
        </w:tc>
        <w:tc>
          <w:tcPr>
            <w:tcW w:w="3118" w:type="dxa"/>
            <w:vAlign w:val="center"/>
          </w:tcPr>
          <w:p>
            <w:pPr>
              <w:snapToGrid w:val="0"/>
              <w:spacing w:line="240" w:lineRule="exact"/>
              <w:ind w:firstLine="0" w:firstLineChars="0"/>
              <w:jc w:val="left"/>
              <w:rPr>
                <w:color w:val="000000"/>
                <w:kern w:val="0"/>
                <w:sz w:val="21"/>
                <w:szCs w:val="21"/>
              </w:rPr>
            </w:pPr>
            <w:r>
              <w:rPr>
                <w:rFonts w:hint="eastAsia"/>
                <w:sz w:val="21"/>
                <w:szCs w:val="21"/>
              </w:rPr>
              <w:t>天然气城市门站、燃气储配站、调压站（升压站、降压站）等</w:t>
            </w:r>
          </w:p>
        </w:tc>
        <w:tc>
          <w:tcPr>
            <w:tcW w:w="2716" w:type="dxa"/>
            <w:vAlign w:val="center"/>
          </w:tcPr>
          <w:p>
            <w:pPr>
              <w:snapToGrid w:val="0"/>
              <w:spacing w:line="220" w:lineRule="exact"/>
              <w:ind w:firstLine="0" w:firstLineChars="0"/>
              <w:jc w:val="left"/>
              <w:rPr>
                <w:color w:val="000000"/>
                <w:kern w:val="0"/>
                <w:sz w:val="21"/>
                <w:szCs w:val="21"/>
              </w:rPr>
            </w:pPr>
            <w:r>
              <w:rPr>
                <w:rFonts w:hint="eastAsia"/>
                <w:sz w:val="21"/>
                <w:szCs w:val="21"/>
              </w:rPr>
              <w:t>可能造成安全事故和环境污染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widowControl/>
              <w:ind w:firstLine="0" w:firstLineChars="0"/>
              <w:jc w:val="center"/>
              <w:textAlignment w:val="center"/>
              <w:rPr>
                <w:rFonts w:ascii="Times New Roman" w:hAnsi="Times New Roman" w:eastAsia="仿宋" w:cs="Times New Roman"/>
                <w:color w:val="000000"/>
                <w:kern w:val="0"/>
                <w:sz w:val="21"/>
                <w:szCs w:val="21"/>
                <w:lang w:val="en-US" w:eastAsia="zh-CN" w:bidi="ar-SA"/>
              </w:rPr>
            </w:pPr>
            <w:r>
              <w:rPr>
                <w:rFonts w:ascii="Times New Roman" w:hAnsi="Times New Roman" w:cs="Times New Roman"/>
                <w:color w:val="000000"/>
                <w:kern w:val="0"/>
                <w:sz w:val="21"/>
                <w:szCs w:val="21"/>
              </w:rPr>
              <w:t>18</w:t>
            </w:r>
          </w:p>
        </w:tc>
        <w:tc>
          <w:tcPr>
            <w:tcW w:w="900" w:type="dxa"/>
            <w:vMerge w:val="continue"/>
            <w:vAlign w:val="center"/>
          </w:tcPr>
          <w:p>
            <w:pPr>
              <w:widowControl/>
              <w:ind w:firstLine="0" w:firstLineChars="0"/>
              <w:jc w:val="left"/>
              <w:textAlignment w:val="center"/>
              <w:rPr>
                <w:color w:val="000000"/>
                <w:kern w:val="0"/>
                <w:sz w:val="21"/>
                <w:szCs w:val="21"/>
              </w:rPr>
            </w:pPr>
          </w:p>
        </w:tc>
        <w:tc>
          <w:tcPr>
            <w:tcW w:w="1691" w:type="dxa"/>
            <w:vAlign w:val="center"/>
          </w:tcPr>
          <w:p>
            <w:pPr>
              <w:widowControl/>
              <w:ind w:firstLine="0" w:firstLineChars="0"/>
              <w:jc w:val="left"/>
              <w:textAlignment w:val="center"/>
              <w:rPr>
                <w:color w:val="000000"/>
                <w:kern w:val="0"/>
                <w:sz w:val="21"/>
                <w:szCs w:val="21"/>
              </w:rPr>
            </w:pPr>
            <w:r>
              <w:rPr>
                <w:rFonts w:ascii="Times New Roman" w:hAnsi="Times New Roman" w:cs="Times New Roman"/>
                <w:color w:val="000000"/>
                <w:kern w:val="0"/>
                <w:sz w:val="21"/>
                <w:szCs w:val="21"/>
              </w:rPr>
              <w:t>[B5.4]</w:t>
            </w:r>
            <w:r>
              <w:rPr>
                <w:rFonts w:hint="eastAsia"/>
                <w:color w:val="000000"/>
                <w:kern w:val="0"/>
                <w:sz w:val="21"/>
                <w:szCs w:val="21"/>
              </w:rPr>
              <w:t>天然气运输</w:t>
            </w:r>
          </w:p>
        </w:tc>
        <w:tc>
          <w:tcPr>
            <w:tcW w:w="3118" w:type="dxa"/>
            <w:vAlign w:val="center"/>
          </w:tcPr>
          <w:p>
            <w:pPr>
              <w:snapToGrid w:val="0"/>
              <w:spacing w:line="240" w:lineRule="exact"/>
              <w:ind w:firstLine="0" w:firstLineChars="0"/>
              <w:jc w:val="left"/>
              <w:rPr>
                <w:color w:val="000000"/>
                <w:kern w:val="0"/>
                <w:sz w:val="21"/>
                <w:szCs w:val="21"/>
              </w:rPr>
            </w:pPr>
            <w:r>
              <w:rPr>
                <w:rFonts w:hint="eastAsia"/>
                <w:sz w:val="21"/>
                <w:szCs w:val="21"/>
              </w:rPr>
              <w:t>天然气输气干线、输气支线、矿场集气支线、矿场集气干线、配气管线、普通计量站等</w:t>
            </w:r>
          </w:p>
        </w:tc>
        <w:tc>
          <w:tcPr>
            <w:tcW w:w="2716" w:type="dxa"/>
            <w:vAlign w:val="center"/>
          </w:tcPr>
          <w:p>
            <w:pPr>
              <w:snapToGrid w:val="0"/>
              <w:spacing w:line="220" w:lineRule="exact"/>
              <w:ind w:firstLine="0" w:firstLineChars="0"/>
              <w:jc w:val="left"/>
              <w:rPr>
                <w:color w:val="000000"/>
                <w:kern w:val="0"/>
                <w:sz w:val="21"/>
                <w:szCs w:val="21"/>
              </w:rPr>
            </w:pPr>
            <w:r>
              <w:rPr>
                <w:rFonts w:hint="eastAsia"/>
                <w:sz w:val="21"/>
                <w:szCs w:val="21"/>
              </w:rPr>
              <w:t>可能造成安全事故和环境污染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widowControl/>
              <w:ind w:firstLine="0" w:firstLineChars="0"/>
              <w:jc w:val="center"/>
              <w:textAlignment w:val="center"/>
              <w:rPr>
                <w:rFonts w:ascii="Times New Roman" w:hAnsi="Times New Roman" w:eastAsia="仿宋" w:cs="Times New Roman"/>
                <w:color w:val="000000"/>
                <w:kern w:val="0"/>
                <w:sz w:val="21"/>
                <w:szCs w:val="21"/>
                <w:lang w:val="en-US" w:eastAsia="zh-CN" w:bidi="ar-SA"/>
              </w:rPr>
            </w:pPr>
            <w:r>
              <w:rPr>
                <w:rFonts w:ascii="Times New Roman" w:hAnsi="Times New Roman" w:cs="Times New Roman"/>
                <w:color w:val="000000"/>
                <w:kern w:val="0"/>
                <w:sz w:val="21"/>
                <w:szCs w:val="21"/>
              </w:rPr>
              <w:t>19</w:t>
            </w:r>
          </w:p>
        </w:tc>
        <w:tc>
          <w:tcPr>
            <w:tcW w:w="900" w:type="dxa"/>
            <w:vMerge w:val="continue"/>
            <w:vAlign w:val="center"/>
          </w:tcPr>
          <w:p>
            <w:pPr>
              <w:widowControl/>
              <w:ind w:firstLine="0" w:firstLineChars="0"/>
              <w:jc w:val="left"/>
              <w:textAlignment w:val="center"/>
              <w:rPr>
                <w:color w:val="000000"/>
                <w:kern w:val="0"/>
                <w:sz w:val="21"/>
                <w:szCs w:val="21"/>
              </w:rPr>
            </w:pPr>
          </w:p>
        </w:tc>
        <w:tc>
          <w:tcPr>
            <w:tcW w:w="1691" w:type="dxa"/>
            <w:vAlign w:val="center"/>
          </w:tcPr>
          <w:p>
            <w:pPr>
              <w:widowControl/>
              <w:ind w:firstLine="0" w:firstLineChars="0"/>
              <w:jc w:val="left"/>
              <w:textAlignment w:val="center"/>
              <w:rPr>
                <w:color w:val="000000"/>
                <w:kern w:val="0"/>
                <w:sz w:val="21"/>
                <w:szCs w:val="21"/>
              </w:rPr>
            </w:pPr>
            <w:r>
              <w:rPr>
                <w:rFonts w:ascii="Times New Roman" w:hAnsi="Times New Roman" w:cs="Times New Roman"/>
                <w:color w:val="000000"/>
                <w:kern w:val="0"/>
                <w:sz w:val="21"/>
                <w:szCs w:val="21"/>
              </w:rPr>
              <w:t>[B5.5]</w:t>
            </w:r>
            <w:r>
              <w:rPr>
                <w:rFonts w:hint="eastAsia"/>
                <w:color w:val="000000"/>
                <w:kern w:val="0"/>
                <w:sz w:val="21"/>
                <w:szCs w:val="21"/>
              </w:rPr>
              <w:t>石油运输</w:t>
            </w:r>
          </w:p>
        </w:tc>
        <w:tc>
          <w:tcPr>
            <w:tcW w:w="3118" w:type="dxa"/>
            <w:vAlign w:val="center"/>
          </w:tcPr>
          <w:p>
            <w:pPr>
              <w:snapToGrid w:val="0"/>
              <w:spacing w:line="240" w:lineRule="exact"/>
              <w:ind w:firstLine="0" w:firstLineChars="0"/>
              <w:jc w:val="left"/>
              <w:rPr>
                <w:color w:val="000000"/>
                <w:kern w:val="0"/>
                <w:sz w:val="21"/>
                <w:szCs w:val="21"/>
              </w:rPr>
            </w:pPr>
            <w:r>
              <w:rPr>
                <w:rFonts w:hint="eastAsia"/>
                <w:sz w:val="21"/>
                <w:szCs w:val="21"/>
              </w:rPr>
              <w:t>石油输送首站、末站、减压站和压力、热力不可逾越的中间（热）泵站、其他各类输油站等</w:t>
            </w:r>
          </w:p>
        </w:tc>
        <w:tc>
          <w:tcPr>
            <w:tcW w:w="2716" w:type="dxa"/>
            <w:vAlign w:val="center"/>
          </w:tcPr>
          <w:p>
            <w:pPr>
              <w:snapToGrid w:val="0"/>
              <w:spacing w:line="220" w:lineRule="exact"/>
              <w:ind w:firstLine="0" w:firstLineChars="0"/>
              <w:jc w:val="left"/>
              <w:rPr>
                <w:color w:val="000000"/>
                <w:kern w:val="0"/>
                <w:sz w:val="21"/>
                <w:szCs w:val="21"/>
              </w:rPr>
            </w:pPr>
            <w:r>
              <w:rPr>
                <w:rFonts w:hint="eastAsia"/>
                <w:sz w:val="21"/>
                <w:szCs w:val="21"/>
              </w:rPr>
              <w:t>可能造成安全事故和环境污染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widowControl/>
              <w:ind w:firstLine="0" w:firstLineChars="0"/>
              <w:jc w:val="center"/>
              <w:textAlignment w:val="center"/>
              <w:rPr>
                <w:rFonts w:ascii="Times New Roman" w:hAnsi="Times New Roman" w:eastAsia="仿宋" w:cs="Times New Roman"/>
                <w:color w:val="000000"/>
                <w:kern w:val="0"/>
                <w:sz w:val="21"/>
                <w:szCs w:val="21"/>
                <w:lang w:val="en-US" w:eastAsia="zh-CN" w:bidi="ar-SA"/>
              </w:rPr>
            </w:pPr>
            <w:r>
              <w:rPr>
                <w:rFonts w:ascii="Times New Roman" w:hAnsi="Times New Roman" w:cs="Times New Roman"/>
                <w:color w:val="000000"/>
                <w:kern w:val="0"/>
                <w:sz w:val="21"/>
                <w:szCs w:val="21"/>
              </w:rPr>
              <w:t>20</w:t>
            </w:r>
          </w:p>
        </w:tc>
        <w:tc>
          <w:tcPr>
            <w:tcW w:w="900" w:type="dxa"/>
            <w:vMerge w:val="continue"/>
            <w:vAlign w:val="center"/>
          </w:tcPr>
          <w:p>
            <w:pPr>
              <w:widowControl/>
              <w:ind w:firstLine="0" w:firstLineChars="0"/>
              <w:jc w:val="left"/>
              <w:textAlignment w:val="center"/>
              <w:rPr>
                <w:color w:val="000000"/>
                <w:kern w:val="0"/>
                <w:sz w:val="21"/>
                <w:szCs w:val="21"/>
              </w:rPr>
            </w:pPr>
          </w:p>
        </w:tc>
        <w:tc>
          <w:tcPr>
            <w:tcW w:w="1691" w:type="dxa"/>
            <w:vAlign w:val="center"/>
          </w:tcPr>
          <w:p>
            <w:pPr>
              <w:widowControl/>
              <w:ind w:firstLine="0" w:firstLineChars="0"/>
              <w:jc w:val="left"/>
              <w:textAlignment w:val="center"/>
              <w:rPr>
                <w:color w:val="000000"/>
                <w:kern w:val="0"/>
                <w:sz w:val="21"/>
                <w:szCs w:val="21"/>
              </w:rPr>
            </w:pPr>
            <w:r>
              <w:rPr>
                <w:rFonts w:ascii="Times New Roman" w:hAnsi="Times New Roman" w:cs="Times New Roman"/>
                <w:color w:val="000000"/>
                <w:kern w:val="0"/>
                <w:sz w:val="21"/>
                <w:szCs w:val="21"/>
              </w:rPr>
              <w:t>[B6.1]</w:t>
            </w:r>
            <w:r>
              <w:rPr>
                <w:rFonts w:hint="eastAsia"/>
                <w:color w:val="000000"/>
                <w:kern w:val="0"/>
                <w:sz w:val="21"/>
                <w:szCs w:val="21"/>
              </w:rPr>
              <w:t>民用运输 机场</w:t>
            </w:r>
          </w:p>
        </w:tc>
        <w:tc>
          <w:tcPr>
            <w:tcW w:w="3118" w:type="dxa"/>
            <w:vAlign w:val="center"/>
          </w:tcPr>
          <w:p>
            <w:pPr>
              <w:snapToGrid w:val="0"/>
              <w:spacing w:line="240" w:lineRule="exact"/>
              <w:ind w:firstLine="0" w:firstLineChars="0"/>
              <w:jc w:val="left"/>
              <w:rPr>
                <w:color w:val="000000"/>
                <w:kern w:val="0"/>
                <w:sz w:val="21"/>
                <w:szCs w:val="21"/>
              </w:rPr>
            </w:pPr>
            <w:r>
              <w:rPr>
                <w:rFonts w:hint="eastAsia"/>
                <w:sz w:val="21"/>
                <w:szCs w:val="21"/>
              </w:rPr>
              <w:t>国际航空枢纽、地区性枢纽机场及一些普通小型机场</w:t>
            </w:r>
          </w:p>
        </w:tc>
        <w:tc>
          <w:tcPr>
            <w:tcW w:w="2716" w:type="dxa"/>
            <w:vAlign w:val="center"/>
          </w:tcPr>
          <w:p>
            <w:pPr>
              <w:snapToGrid w:val="0"/>
              <w:spacing w:line="220" w:lineRule="exact"/>
              <w:ind w:firstLine="0" w:firstLineChars="0"/>
              <w:jc w:val="left"/>
              <w:rPr>
                <w:color w:val="000000"/>
                <w:kern w:val="0"/>
                <w:sz w:val="21"/>
                <w:szCs w:val="21"/>
              </w:rPr>
            </w:pPr>
            <w:r>
              <w:rPr>
                <w:rFonts w:hint="eastAsia"/>
                <w:sz w:val="21"/>
                <w:szCs w:val="21"/>
              </w:rPr>
              <w:t>可能引发人身伤亡、造成重大安全事故、造成大的政治影响和社会影响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widowControl/>
              <w:ind w:firstLine="0" w:firstLineChars="0"/>
              <w:jc w:val="center"/>
              <w:textAlignment w:val="center"/>
              <w:rPr>
                <w:rFonts w:ascii="Times New Roman" w:hAnsi="Times New Roman" w:eastAsia="仿宋" w:cs="Times New Roman"/>
                <w:color w:val="000000"/>
                <w:kern w:val="0"/>
                <w:sz w:val="21"/>
                <w:szCs w:val="21"/>
                <w:lang w:val="en-US" w:eastAsia="zh-CN" w:bidi="ar-SA"/>
              </w:rPr>
            </w:pPr>
            <w:r>
              <w:rPr>
                <w:rFonts w:ascii="Times New Roman" w:hAnsi="Times New Roman" w:cs="Times New Roman"/>
                <w:color w:val="000000"/>
                <w:kern w:val="0"/>
                <w:sz w:val="21"/>
                <w:szCs w:val="21"/>
              </w:rPr>
              <w:t>21</w:t>
            </w:r>
          </w:p>
        </w:tc>
        <w:tc>
          <w:tcPr>
            <w:tcW w:w="900" w:type="dxa"/>
            <w:vMerge w:val="continue"/>
            <w:vAlign w:val="center"/>
          </w:tcPr>
          <w:p>
            <w:pPr>
              <w:widowControl/>
              <w:ind w:firstLine="0" w:firstLineChars="0"/>
              <w:jc w:val="left"/>
              <w:textAlignment w:val="center"/>
              <w:rPr>
                <w:color w:val="000000"/>
                <w:kern w:val="0"/>
                <w:sz w:val="21"/>
                <w:szCs w:val="21"/>
              </w:rPr>
            </w:pPr>
          </w:p>
        </w:tc>
        <w:tc>
          <w:tcPr>
            <w:tcW w:w="1691" w:type="dxa"/>
            <w:vAlign w:val="center"/>
          </w:tcPr>
          <w:p>
            <w:pPr>
              <w:widowControl/>
              <w:ind w:firstLine="0" w:firstLineChars="0"/>
              <w:jc w:val="left"/>
              <w:textAlignment w:val="center"/>
              <w:rPr>
                <w:color w:val="000000"/>
                <w:kern w:val="0"/>
                <w:sz w:val="21"/>
                <w:szCs w:val="21"/>
              </w:rPr>
            </w:pPr>
            <w:r>
              <w:rPr>
                <w:rFonts w:ascii="Times New Roman" w:hAnsi="Times New Roman" w:cs="Times New Roman"/>
                <w:color w:val="000000"/>
                <w:kern w:val="0"/>
                <w:sz w:val="21"/>
                <w:szCs w:val="21"/>
              </w:rPr>
              <w:t>[B6.2]</w:t>
            </w:r>
            <w:r>
              <w:rPr>
                <w:rFonts w:hint="eastAsia"/>
                <w:color w:val="000000"/>
                <w:kern w:val="0"/>
                <w:sz w:val="21"/>
                <w:szCs w:val="21"/>
              </w:rPr>
              <w:t>铁路、城市轨道交通</w:t>
            </w:r>
          </w:p>
        </w:tc>
        <w:tc>
          <w:tcPr>
            <w:tcW w:w="3118" w:type="dxa"/>
            <w:vAlign w:val="center"/>
          </w:tcPr>
          <w:p>
            <w:pPr>
              <w:snapToGrid w:val="0"/>
              <w:spacing w:line="240" w:lineRule="exact"/>
              <w:ind w:firstLine="0" w:firstLineChars="0"/>
              <w:jc w:val="left"/>
              <w:rPr>
                <w:color w:val="000000"/>
                <w:kern w:val="0"/>
                <w:sz w:val="21"/>
                <w:szCs w:val="21"/>
              </w:rPr>
            </w:pPr>
            <w:r>
              <w:rPr>
                <w:rFonts w:hint="eastAsia"/>
                <w:sz w:val="21"/>
                <w:szCs w:val="21"/>
              </w:rPr>
              <w:t>铁路牵引站、国家级铁路干线枢纽站、次级枢纽站、铁路大型客运站、中型客运站、铁路普通客运站；</w:t>
            </w:r>
            <w:r>
              <w:rPr>
                <w:rFonts w:hint="eastAsia"/>
                <w:kern w:val="0"/>
                <w:sz w:val="21"/>
                <w:szCs w:val="21"/>
              </w:rPr>
              <w:t>城市轨道交通</w:t>
            </w:r>
            <w:r>
              <w:rPr>
                <w:rFonts w:hint="eastAsia"/>
                <w:sz w:val="21"/>
                <w:szCs w:val="21"/>
              </w:rPr>
              <w:t>牵引站、</w:t>
            </w:r>
            <w:r>
              <w:rPr>
                <w:rFonts w:hint="eastAsia"/>
                <w:kern w:val="0"/>
                <w:sz w:val="21"/>
                <w:szCs w:val="21"/>
              </w:rPr>
              <w:t>城市轨道交通</w:t>
            </w:r>
            <w:r>
              <w:rPr>
                <w:rFonts w:hint="eastAsia"/>
                <w:sz w:val="21"/>
                <w:szCs w:val="21"/>
              </w:rPr>
              <w:t>换乘站、</w:t>
            </w:r>
            <w:r>
              <w:rPr>
                <w:rFonts w:hint="eastAsia"/>
                <w:kern w:val="0"/>
                <w:sz w:val="21"/>
                <w:szCs w:val="21"/>
              </w:rPr>
              <w:t>城市轨道交通</w:t>
            </w:r>
            <w:r>
              <w:rPr>
                <w:rFonts w:hint="eastAsia"/>
                <w:sz w:val="21"/>
                <w:szCs w:val="21"/>
              </w:rPr>
              <w:t>普通客运站</w:t>
            </w:r>
          </w:p>
        </w:tc>
        <w:tc>
          <w:tcPr>
            <w:tcW w:w="2716" w:type="dxa"/>
            <w:vAlign w:val="center"/>
          </w:tcPr>
          <w:p>
            <w:pPr>
              <w:snapToGrid w:val="0"/>
              <w:spacing w:line="220" w:lineRule="exact"/>
              <w:ind w:firstLine="0" w:firstLineChars="0"/>
              <w:jc w:val="left"/>
              <w:rPr>
                <w:color w:val="000000"/>
                <w:kern w:val="0"/>
                <w:sz w:val="21"/>
                <w:szCs w:val="21"/>
              </w:rPr>
            </w:pPr>
            <w:r>
              <w:rPr>
                <w:rFonts w:hint="eastAsia"/>
                <w:sz w:val="21"/>
                <w:szCs w:val="21"/>
              </w:rPr>
              <w:t>可能造成安全事故和大的社会影响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widowControl/>
              <w:ind w:firstLine="0" w:firstLineChars="0"/>
              <w:jc w:val="center"/>
              <w:textAlignment w:val="center"/>
              <w:rPr>
                <w:rFonts w:ascii="Times New Roman" w:hAnsi="Times New Roman" w:eastAsia="仿宋" w:cs="Times New Roman"/>
                <w:color w:val="000000"/>
                <w:kern w:val="0"/>
                <w:sz w:val="21"/>
                <w:szCs w:val="21"/>
                <w:lang w:val="en-US" w:eastAsia="zh-CN" w:bidi="ar-SA"/>
              </w:rPr>
            </w:pPr>
            <w:r>
              <w:rPr>
                <w:rFonts w:ascii="Times New Roman" w:hAnsi="Times New Roman" w:cs="Times New Roman"/>
                <w:color w:val="000000"/>
                <w:kern w:val="0"/>
                <w:sz w:val="21"/>
                <w:szCs w:val="21"/>
              </w:rPr>
              <w:t>22</w:t>
            </w:r>
          </w:p>
        </w:tc>
        <w:tc>
          <w:tcPr>
            <w:tcW w:w="900" w:type="dxa"/>
            <w:vMerge w:val="continue"/>
            <w:vAlign w:val="center"/>
          </w:tcPr>
          <w:p>
            <w:pPr>
              <w:widowControl/>
              <w:ind w:firstLine="0" w:firstLineChars="0"/>
              <w:jc w:val="left"/>
              <w:textAlignment w:val="center"/>
              <w:rPr>
                <w:color w:val="000000"/>
                <w:kern w:val="0"/>
                <w:sz w:val="21"/>
                <w:szCs w:val="21"/>
              </w:rPr>
            </w:pPr>
          </w:p>
        </w:tc>
        <w:tc>
          <w:tcPr>
            <w:tcW w:w="1691" w:type="dxa"/>
            <w:vAlign w:val="center"/>
          </w:tcPr>
          <w:p>
            <w:pPr>
              <w:widowControl/>
              <w:ind w:firstLine="0" w:firstLineChars="0"/>
              <w:jc w:val="left"/>
              <w:textAlignment w:val="center"/>
              <w:rPr>
                <w:color w:val="000000"/>
                <w:kern w:val="0"/>
                <w:sz w:val="21"/>
                <w:szCs w:val="21"/>
              </w:rPr>
            </w:pPr>
            <w:r>
              <w:rPr>
                <w:rFonts w:hint="eastAsia"/>
                <w:color w:val="000000"/>
                <w:kern w:val="0"/>
                <w:sz w:val="21"/>
                <w:szCs w:val="21"/>
              </w:rPr>
              <w:t>[</w:t>
            </w:r>
            <w:r>
              <w:rPr>
                <w:rFonts w:ascii="Times New Roman" w:hAnsi="Times New Roman" w:cs="Times New Roman"/>
                <w:color w:val="000000"/>
                <w:kern w:val="0"/>
                <w:sz w:val="21"/>
                <w:szCs w:val="21"/>
              </w:rPr>
              <w:t>B7</w:t>
            </w:r>
            <w:r>
              <w:rPr>
                <w:rFonts w:hint="eastAsia"/>
                <w:color w:val="000000"/>
                <w:kern w:val="0"/>
                <w:sz w:val="21"/>
                <w:szCs w:val="21"/>
              </w:rPr>
              <w:t>]医疗卫生</w:t>
            </w:r>
          </w:p>
        </w:tc>
        <w:tc>
          <w:tcPr>
            <w:tcW w:w="3118" w:type="dxa"/>
            <w:vAlign w:val="center"/>
          </w:tcPr>
          <w:p>
            <w:pPr>
              <w:snapToGrid w:val="0"/>
              <w:spacing w:line="240" w:lineRule="exact"/>
              <w:ind w:firstLine="0" w:firstLineChars="0"/>
              <w:jc w:val="left"/>
              <w:rPr>
                <w:color w:val="000000"/>
                <w:kern w:val="0"/>
                <w:sz w:val="21"/>
                <w:szCs w:val="21"/>
              </w:rPr>
            </w:pPr>
            <w:r>
              <w:rPr>
                <w:rFonts w:hint="eastAsia"/>
                <w:sz w:val="21"/>
                <w:szCs w:val="21"/>
              </w:rPr>
              <w:t>三级医院</w:t>
            </w:r>
          </w:p>
        </w:tc>
        <w:tc>
          <w:tcPr>
            <w:tcW w:w="2716" w:type="dxa"/>
            <w:vAlign w:val="center"/>
          </w:tcPr>
          <w:p>
            <w:pPr>
              <w:snapToGrid w:val="0"/>
              <w:spacing w:line="220" w:lineRule="exact"/>
              <w:ind w:firstLine="0" w:firstLineChars="0"/>
              <w:jc w:val="left"/>
              <w:rPr>
                <w:color w:val="000000"/>
                <w:kern w:val="0"/>
                <w:sz w:val="21"/>
                <w:szCs w:val="21"/>
              </w:rPr>
            </w:pPr>
            <w:r>
              <w:rPr>
                <w:rFonts w:hint="eastAsia"/>
                <w:sz w:val="21"/>
                <w:szCs w:val="21"/>
              </w:rPr>
              <w:t>可能引发人身伤亡、造成社会影响和公共秩序混乱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widowControl/>
              <w:ind w:firstLine="0" w:firstLineChars="0"/>
              <w:jc w:val="center"/>
              <w:textAlignment w:val="center"/>
              <w:rPr>
                <w:rFonts w:ascii="Times New Roman" w:hAnsi="Times New Roman" w:eastAsia="仿宋" w:cs="Times New Roman"/>
                <w:color w:val="000000"/>
                <w:kern w:val="0"/>
                <w:sz w:val="21"/>
                <w:szCs w:val="21"/>
                <w:lang w:val="en-US" w:eastAsia="zh-CN" w:bidi="ar-SA"/>
              </w:rPr>
            </w:pPr>
            <w:r>
              <w:rPr>
                <w:rFonts w:ascii="Times New Roman" w:hAnsi="Times New Roman" w:cs="Times New Roman"/>
                <w:color w:val="000000"/>
                <w:kern w:val="0"/>
                <w:sz w:val="21"/>
                <w:szCs w:val="21"/>
              </w:rPr>
              <w:t>23</w:t>
            </w:r>
          </w:p>
        </w:tc>
        <w:tc>
          <w:tcPr>
            <w:tcW w:w="900" w:type="dxa"/>
            <w:vMerge w:val="continue"/>
            <w:vAlign w:val="center"/>
          </w:tcPr>
          <w:p>
            <w:pPr>
              <w:widowControl/>
              <w:ind w:firstLine="0" w:firstLineChars="0"/>
              <w:jc w:val="left"/>
              <w:textAlignment w:val="center"/>
              <w:rPr>
                <w:color w:val="000000"/>
                <w:kern w:val="0"/>
                <w:sz w:val="21"/>
                <w:szCs w:val="21"/>
              </w:rPr>
            </w:pPr>
          </w:p>
        </w:tc>
        <w:tc>
          <w:tcPr>
            <w:tcW w:w="1691" w:type="dxa"/>
            <w:vAlign w:val="center"/>
          </w:tcPr>
          <w:p>
            <w:pPr>
              <w:widowControl/>
              <w:ind w:firstLine="0" w:firstLineChars="0"/>
              <w:jc w:val="left"/>
              <w:textAlignment w:val="center"/>
              <w:rPr>
                <w:color w:val="000000"/>
                <w:kern w:val="0"/>
                <w:sz w:val="21"/>
                <w:szCs w:val="21"/>
              </w:rPr>
            </w:pPr>
            <w:r>
              <w:rPr>
                <w:rFonts w:hint="eastAsia"/>
                <w:color w:val="000000"/>
                <w:kern w:val="0"/>
                <w:sz w:val="21"/>
                <w:szCs w:val="21"/>
              </w:rPr>
              <w:t>[</w:t>
            </w:r>
            <w:r>
              <w:rPr>
                <w:rFonts w:ascii="Times New Roman" w:hAnsi="Times New Roman" w:cs="Times New Roman"/>
                <w:color w:val="000000"/>
                <w:kern w:val="0"/>
                <w:sz w:val="21"/>
                <w:szCs w:val="21"/>
              </w:rPr>
              <w:t>B8.1</w:t>
            </w:r>
            <w:r>
              <w:rPr>
                <w:rFonts w:hint="eastAsia"/>
                <w:color w:val="000000"/>
                <w:kern w:val="0"/>
                <w:sz w:val="21"/>
                <w:szCs w:val="21"/>
              </w:rPr>
              <w:t>]五星级以上宾馆饭店</w:t>
            </w:r>
          </w:p>
        </w:tc>
        <w:tc>
          <w:tcPr>
            <w:tcW w:w="3118" w:type="dxa"/>
            <w:vAlign w:val="center"/>
          </w:tcPr>
          <w:p>
            <w:pPr>
              <w:snapToGrid w:val="0"/>
              <w:spacing w:line="240" w:lineRule="exact"/>
              <w:ind w:firstLine="0" w:firstLineChars="0"/>
              <w:jc w:val="left"/>
              <w:rPr>
                <w:color w:val="000000"/>
                <w:kern w:val="0"/>
                <w:sz w:val="21"/>
                <w:szCs w:val="21"/>
              </w:rPr>
            </w:pPr>
            <w:r>
              <w:rPr>
                <w:rFonts w:hint="eastAsia"/>
                <w:sz w:val="21"/>
                <w:szCs w:val="21"/>
              </w:rPr>
              <w:t>特殊定点涉外接待的宾馆、饭店及其他五星级及以上高等级宾馆</w:t>
            </w:r>
          </w:p>
        </w:tc>
        <w:tc>
          <w:tcPr>
            <w:tcW w:w="2716" w:type="dxa"/>
            <w:vAlign w:val="center"/>
          </w:tcPr>
          <w:p>
            <w:pPr>
              <w:snapToGrid w:val="0"/>
              <w:spacing w:line="220" w:lineRule="exact"/>
              <w:ind w:firstLine="0" w:firstLineChars="0"/>
              <w:jc w:val="left"/>
              <w:rPr>
                <w:color w:val="000000"/>
                <w:kern w:val="0"/>
                <w:sz w:val="21"/>
                <w:szCs w:val="21"/>
              </w:rPr>
            </w:pPr>
            <w:r>
              <w:rPr>
                <w:rFonts w:hint="eastAsia"/>
                <w:sz w:val="21"/>
                <w:szCs w:val="21"/>
              </w:rPr>
              <w:t>可能造成政治影响和社会公共秩序混乱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widowControl/>
              <w:ind w:firstLine="0" w:firstLineChars="0"/>
              <w:jc w:val="center"/>
              <w:textAlignment w:val="center"/>
              <w:rPr>
                <w:rFonts w:ascii="Times New Roman" w:hAnsi="Times New Roman" w:eastAsia="仿宋" w:cs="Times New Roman"/>
                <w:color w:val="000000"/>
                <w:kern w:val="0"/>
                <w:sz w:val="21"/>
                <w:szCs w:val="21"/>
                <w:lang w:val="en-US" w:eastAsia="zh-CN" w:bidi="ar-SA"/>
              </w:rPr>
            </w:pPr>
            <w:r>
              <w:rPr>
                <w:rFonts w:ascii="Times New Roman" w:hAnsi="Times New Roman" w:cs="Times New Roman"/>
                <w:color w:val="000000"/>
                <w:kern w:val="0"/>
                <w:sz w:val="21"/>
                <w:szCs w:val="21"/>
              </w:rPr>
              <w:t>24</w:t>
            </w:r>
          </w:p>
        </w:tc>
        <w:tc>
          <w:tcPr>
            <w:tcW w:w="900" w:type="dxa"/>
            <w:vMerge w:val="continue"/>
            <w:vAlign w:val="center"/>
          </w:tcPr>
          <w:p>
            <w:pPr>
              <w:widowControl/>
              <w:ind w:firstLine="0" w:firstLineChars="0"/>
              <w:jc w:val="left"/>
              <w:textAlignment w:val="center"/>
              <w:rPr>
                <w:color w:val="000000"/>
                <w:kern w:val="0"/>
                <w:sz w:val="21"/>
                <w:szCs w:val="21"/>
              </w:rPr>
            </w:pPr>
          </w:p>
        </w:tc>
        <w:tc>
          <w:tcPr>
            <w:tcW w:w="1691" w:type="dxa"/>
            <w:vAlign w:val="center"/>
          </w:tcPr>
          <w:p>
            <w:pPr>
              <w:widowControl/>
              <w:ind w:firstLine="0" w:firstLineChars="0"/>
              <w:jc w:val="left"/>
              <w:textAlignment w:val="center"/>
              <w:rPr>
                <w:color w:val="000000"/>
                <w:kern w:val="0"/>
                <w:sz w:val="21"/>
                <w:szCs w:val="21"/>
              </w:rPr>
            </w:pPr>
            <w:r>
              <w:rPr>
                <w:rFonts w:hint="eastAsia"/>
                <w:color w:val="000000"/>
                <w:kern w:val="0"/>
                <w:sz w:val="21"/>
                <w:szCs w:val="21"/>
              </w:rPr>
              <w:t>[</w:t>
            </w:r>
            <w:r>
              <w:rPr>
                <w:rFonts w:ascii="Times New Roman" w:hAnsi="Times New Roman" w:cs="Times New Roman"/>
                <w:color w:val="000000"/>
                <w:kern w:val="0"/>
                <w:sz w:val="21"/>
                <w:szCs w:val="21"/>
              </w:rPr>
              <w:t>B8.2</w:t>
            </w:r>
            <w:r>
              <w:rPr>
                <w:rFonts w:hint="eastAsia"/>
                <w:color w:val="000000"/>
                <w:kern w:val="0"/>
                <w:sz w:val="21"/>
                <w:szCs w:val="21"/>
              </w:rPr>
              <w:t>]高层商业办公楼</w:t>
            </w:r>
          </w:p>
        </w:tc>
        <w:tc>
          <w:tcPr>
            <w:tcW w:w="3118" w:type="dxa"/>
            <w:vAlign w:val="center"/>
          </w:tcPr>
          <w:p>
            <w:pPr>
              <w:snapToGrid w:val="0"/>
              <w:spacing w:line="240" w:lineRule="exact"/>
              <w:ind w:firstLine="0" w:firstLineChars="0"/>
              <w:jc w:val="left"/>
              <w:rPr>
                <w:color w:val="000000"/>
                <w:kern w:val="0"/>
                <w:sz w:val="21"/>
                <w:szCs w:val="21"/>
              </w:rPr>
            </w:pPr>
            <w:r>
              <w:rPr>
                <w:rFonts w:hint="eastAsia"/>
                <w:kern w:val="0"/>
                <w:sz w:val="21"/>
                <w:szCs w:val="21"/>
              </w:rPr>
              <w:t>高度超过</w:t>
            </w:r>
            <w:r>
              <w:rPr>
                <w:rFonts w:ascii="Times New Roman" w:hAnsi="Times New Roman" w:cs="Times New Roman"/>
                <w:sz w:val="21"/>
                <w:szCs w:val="21"/>
              </w:rPr>
              <w:t>100</w:t>
            </w:r>
            <w:r>
              <w:rPr>
                <w:rFonts w:hint="eastAsia"/>
                <w:kern w:val="0"/>
                <w:sz w:val="21"/>
                <w:szCs w:val="21"/>
              </w:rPr>
              <w:t>米的</w:t>
            </w:r>
            <w:r>
              <w:rPr>
                <w:rFonts w:hint="eastAsia"/>
                <w:sz w:val="21"/>
                <w:szCs w:val="21"/>
              </w:rPr>
              <w:t>特别重要的商业办公楼、商务公寓、购物中心</w:t>
            </w:r>
          </w:p>
        </w:tc>
        <w:tc>
          <w:tcPr>
            <w:tcW w:w="2716" w:type="dxa"/>
            <w:vAlign w:val="center"/>
          </w:tcPr>
          <w:p>
            <w:pPr>
              <w:snapToGrid w:val="0"/>
              <w:spacing w:line="220" w:lineRule="exact"/>
              <w:ind w:firstLine="0" w:firstLineChars="0"/>
              <w:jc w:val="left"/>
              <w:rPr>
                <w:color w:val="000000"/>
                <w:kern w:val="0"/>
                <w:sz w:val="21"/>
                <w:szCs w:val="21"/>
              </w:rPr>
            </w:pPr>
            <w:r>
              <w:rPr>
                <w:rFonts w:hint="eastAsia"/>
                <w:sz w:val="21"/>
                <w:szCs w:val="21"/>
              </w:rPr>
              <w:t>可能引发人身伤亡和社会公共秩序混乱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widowControl/>
              <w:ind w:firstLine="0" w:firstLineChars="0"/>
              <w:jc w:val="center"/>
              <w:textAlignment w:val="center"/>
              <w:rPr>
                <w:rFonts w:ascii="Times New Roman" w:hAnsi="Times New Roman" w:eastAsia="仿宋" w:cs="Times New Roman"/>
                <w:color w:val="000000"/>
                <w:kern w:val="0"/>
                <w:sz w:val="21"/>
                <w:szCs w:val="21"/>
                <w:lang w:val="en-US" w:eastAsia="zh-CN" w:bidi="ar-SA"/>
              </w:rPr>
            </w:pPr>
            <w:r>
              <w:rPr>
                <w:rFonts w:ascii="Times New Roman" w:hAnsi="Times New Roman" w:cs="Times New Roman"/>
                <w:color w:val="000000"/>
                <w:kern w:val="0"/>
                <w:sz w:val="21"/>
                <w:szCs w:val="21"/>
              </w:rPr>
              <w:t>25</w:t>
            </w:r>
          </w:p>
        </w:tc>
        <w:tc>
          <w:tcPr>
            <w:tcW w:w="900" w:type="dxa"/>
            <w:vMerge w:val="continue"/>
            <w:vAlign w:val="center"/>
          </w:tcPr>
          <w:p>
            <w:pPr>
              <w:widowControl/>
              <w:ind w:firstLine="0" w:firstLineChars="0"/>
              <w:jc w:val="left"/>
              <w:textAlignment w:val="center"/>
              <w:rPr>
                <w:color w:val="000000"/>
                <w:kern w:val="0"/>
                <w:sz w:val="21"/>
                <w:szCs w:val="21"/>
              </w:rPr>
            </w:pPr>
          </w:p>
        </w:tc>
        <w:tc>
          <w:tcPr>
            <w:tcW w:w="1691" w:type="dxa"/>
            <w:vAlign w:val="center"/>
          </w:tcPr>
          <w:p>
            <w:pPr>
              <w:widowControl/>
              <w:ind w:firstLine="0" w:firstLineChars="0"/>
              <w:jc w:val="left"/>
              <w:textAlignment w:val="center"/>
              <w:rPr>
                <w:color w:val="000000"/>
                <w:kern w:val="0"/>
                <w:sz w:val="21"/>
                <w:szCs w:val="21"/>
              </w:rPr>
            </w:pPr>
            <w:r>
              <w:rPr>
                <w:rFonts w:hint="eastAsia"/>
                <w:color w:val="000000"/>
                <w:kern w:val="0"/>
                <w:sz w:val="21"/>
                <w:szCs w:val="21"/>
              </w:rPr>
              <w:t>[</w:t>
            </w:r>
            <w:r>
              <w:rPr>
                <w:rFonts w:ascii="Times New Roman" w:hAnsi="Times New Roman" w:cs="Times New Roman"/>
                <w:color w:val="000000"/>
                <w:kern w:val="0"/>
                <w:sz w:val="21"/>
                <w:szCs w:val="21"/>
              </w:rPr>
              <w:t>B8.3</w:t>
            </w:r>
            <w:r>
              <w:rPr>
                <w:rFonts w:hint="eastAsia"/>
                <w:color w:val="000000"/>
                <w:kern w:val="0"/>
                <w:sz w:val="21"/>
                <w:szCs w:val="21"/>
              </w:rPr>
              <w:t>]超市、购物中心</w:t>
            </w:r>
          </w:p>
        </w:tc>
        <w:tc>
          <w:tcPr>
            <w:tcW w:w="3118" w:type="dxa"/>
            <w:vAlign w:val="center"/>
          </w:tcPr>
          <w:p>
            <w:pPr>
              <w:snapToGrid w:val="0"/>
              <w:spacing w:line="240" w:lineRule="exact"/>
              <w:ind w:firstLine="0" w:firstLineChars="0"/>
              <w:jc w:val="left"/>
              <w:rPr>
                <w:color w:val="000000"/>
                <w:kern w:val="0"/>
                <w:sz w:val="21"/>
                <w:szCs w:val="21"/>
              </w:rPr>
            </w:pPr>
            <w:r>
              <w:rPr>
                <w:rFonts w:hint="eastAsia"/>
                <w:sz w:val="21"/>
                <w:szCs w:val="21"/>
              </w:rPr>
              <w:t>营业面积在</w:t>
            </w:r>
            <w:r>
              <w:rPr>
                <w:rFonts w:ascii="Times New Roman" w:hAnsi="Times New Roman" w:cs="Times New Roman"/>
                <w:sz w:val="21"/>
                <w:szCs w:val="21"/>
              </w:rPr>
              <w:t>6000</w:t>
            </w:r>
            <w:r>
              <w:rPr>
                <w:rFonts w:hint="eastAsia"/>
                <w:sz w:val="21"/>
                <w:szCs w:val="21"/>
              </w:rPr>
              <w:t>平方米以上的多层或地下大型超市及大型购物中心</w:t>
            </w:r>
          </w:p>
        </w:tc>
        <w:tc>
          <w:tcPr>
            <w:tcW w:w="2716" w:type="dxa"/>
            <w:vAlign w:val="center"/>
          </w:tcPr>
          <w:p>
            <w:pPr>
              <w:snapToGrid w:val="0"/>
              <w:spacing w:line="220" w:lineRule="exact"/>
              <w:ind w:firstLine="0" w:firstLineChars="0"/>
              <w:jc w:val="left"/>
              <w:rPr>
                <w:color w:val="000000"/>
                <w:kern w:val="0"/>
                <w:sz w:val="21"/>
                <w:szCs w:val="21"/>
              </w:rPr>
            </w:pPr>
            <w:r>
              <w:rPr>
                <w:rFonts w:hint="eastAsia"/>
                <w:sz w:val="21"/>
                <w:szCs w:val="21"/>
              </w:rPr>
              <w:t>可能引发人身伤亡和社会公共秩序混乱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widowControl/>
              <w:ind w:firstLine="0" w:firstLineChars="0"/>
              <w:jc w:val="center"/>
              <w:textAlignment w:val="center"/>
              <w:rPr>
                <w:rFonts w:ascii="Times New Roman" w:hAnsi="Times New Roman" w:eastAsia="仿宋" w:cs="Times New Roman"/>
                <w:color w:val="000000"/>
                <w:kern w:val="0"/>
                <w:sz w:val="21"/>
                <w:szCs w:val="21"/>
                <w:lang w:val="en-US" w:eastAsia="zh-CN" w:bidi="ar-SA"/>
              </w:rPr>
            </w:pPr>
            <w:r>
              <w:rPr>
                <w:rFonts w:ascii="Times New Roman" w:hAnsi="Times New Roman" w:cs="Times New Roman"/>
                <w:color w:val="000000"/>
                <w:kern w:val="0"/>
                <w:sz w:val="21"/>
                <w:szCs w:val="21"/>
              </w:rPr>
              <w:t>26</w:t>
            </w:r>
          </w:p>
        </w:tc>
        <w:tc>
          <w:tcPr>
            <w:tcW w:w="900" w:type="dxa"/>
            <w:vMerge w:val="continue"/>
            <w:vAlign w:val="center"/>
          </w:tcPr>
          <w:p>
            <w:pPr>
              <w:widowControl/>
              <w:ind w:firstLine="0" w:firstLineChars="0"/>
              <w:jc w:val="left"/>
              <w:textAlignment w:val="center"/>
              <w:rPr>
                <w:color w:val="000000"/>
                <w:kern w:val="0"/>
                <w:sz w:val="21"/>
                <w:szCs w:val="21"/>
              </w:rPr>
            </w:pPr>
          </w:p>
        </w:tc>
        <w:tc>
          <w:tcPr>
            <w:tcW w:w="1691" w:type="dxa"/>
            <w:vAlign w:val="center"/>
          </w:tcPr>
          <w:p>
            <w:pPr>
              <w:widowControl/>
              <w:ind w:firstLine="0" w:firstLineChars="0"/>
              <w:jc w:val="left"/>
              <w:textAlignment w:val="center"/>
              <w:rPr>
                <w:color w:val="000000"/>
                <w:kern w:val="0"/>
                <w:sz w:val="21"/>
                <w:szCs w:val="21"/>
              </w:rPr>
            </w:pPr>
            <w:r>
              <w:rPr>
                <w:rFonts w:hint="eastAsia"/>
                <w:color w:val="000000"/>
                <w:kern w:val="0"/>
                <w:sz w:val="21"/>
                <w:szCs w:val="21"/>
              </w:rPr>
              <w:t>[</w:t>
            </w:r>
            <w:r>
              <w:rPr>
                <w:rFonts w:ascii="Times New Roman" w:hAnsi="Times New Roman" w:cs="Times New Roman"/>
                <w:color w:val="000000"/>
                <w:kern w:val="0"/>
                <w:sz w:val="21"/>
                <w:szCs w:val="21"/>
              </w:rPr>
              <w:t>B8.4</w:t>
            </w:r>
            <w:r>
              <w:rPr>
                <w:rFonts w:hint="eastAsia"/>
                <w:color w:val="000000"/>
                <w:kern w:val="0"/>
                <w:sz w:val="21"/>
                <w:szCs w:val="21"/>
              </w:rPr>
              <w:t>]体育馆场馆、大型展览中心及其他重要场馆</w:t>
            </w:r>
          </w:p>
        </w:tc>
        <w:tc>
          <w:tcPr>
            <w:tcW w:w="3118" w:type="dxa"/>
            <w:vAlign w:val="center"/>
          </w:tcPr>
          <w:p>
            <w:pPr>
              <w:snapToGrid w:val="0"/>
              <w:spacing w:line="240" w:lineRule="exact"/>
              <w:ind w:firstLine="0" w:firstLineChars="0"/>
              <w:jc w:val="left"/>
              <w:rPr>
                <w:color w:val="000000"/>
                <w:kern w:val="0"/>
                <w:sz w:val="21"/>
                <w:szCs w:val="21"/>
              </w:rPr>
            </w:pPr>
            <w:r>
              <w:rPr>
                <w:rFonts w:hint="eastAsia"/>
                <w:sz w:val="21"/>
                <w:szCs w:val="21"/>
              </w:rPr>
              <w:t>国家级承担重大国事活动的会堂、国家级大型体育中心；举办世界级、全国性或单项国际比赛；举办地区性和全国单项比赛、举办地方性、群众性运动会展会；承担国际或国家级大型展览的会展中心； 承担地区级展览的会展中心</w:t>
            </w:r>
          </w:p>
        </w:tc>
        <w:tc>
          <w:tcPr>
            <w:tcW w:w="2716" w:type="dxa"/>
            <w:vAlign w:val="center"/>
          </w:tcPr>
          <w:p>
            <w:pPr>
              <w:snapToGrid w:val="0"/>
              <w:spacing w:line="220" w:lineRule="exact"/>
              <w:ind w:firstLine="0" w:firstLineChars="0"/>
              <w:jc w:val="left"/>
              <w:rPr>
                <w:color w:val="000000"/>
                <w:kern w:val="0"/>
                <w:sz w:val="21"/>
                <w:szCs w:val="21"/>
              </w:rPr>
            </w:pPr>
            <w:r>
              <w:rPr>
                <w:rFonts w:hint="eastAsia"/>
                <w:sz w:val="21"/>
                <w:szCs w:val="21"/>
              </w:rPr>
              <w:t>可能引发人身伤亡、可能造成重大政治影响和社会公共秩序混乱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gridSpan w:val="5"/>
            <w:vAlign w:val="center"/>
          </w:tcPr>
          <w:p>
            <w:pPr>
              <w:widowControl/>
              <w:ind w:firstLine="0" w:firstLineChars="0"/>
              <w:jc w:val="left"/>
              <w:textAlignment w:val="center"/>
              <w:rPr>
                <w:color w:val="000000"/>
                <w:kern w:val="0"/>
                <w:sz w:val="21"/>
                <w:szCs w:val="21"/>
              </w:rPr>
            </w:pPr>
            <w:r>
              <w:rPr>
                <w:rFonts w:hint="eastAsia"/>
                <w:color w:val="000000"/>
                <w:kern w:val="0"/>
                <w:sz w:val="21"/>
                <w:szCs w:val="21"/>
              </w:rPr>
              <w:t>注</w:t>
            </w:r>
            <w:r>
              <w:rPr>
                <w:rFonts w:ascii="Times New Roman" w:hAnsi="Times New Roman" w:cs="Times New Roman"/>
                <w:color w:val="000000"/>
                <w:kern w:val="0"/>
                <w:sz w:val="21"/>
                <w:szCs w:val="21"/>
              </w:rPr>
              <w:t>1</w:t>
            </w:r>
            <w:r>
              <w:rPr>
                <w:rFonts w:hint="eastAsia"/>
                <w:color w:val="000000"/>
                <w:kern w:val="0"/>
                <w:sz w:val="21"/>
                <w:szCs w:val="21"/>
              </w:rPr>
              <w:t>：本范围未含盖全部行业，其他行业可参考执行。</w:t>
            </w:r>
          </w:p>
          <w:p>
            <w:pPr>
              <w:widowControl/>
              <w:ind w:firstLine="0" w:firstLineChars="0"/>
              <w:jc w:val="left"/>
              <w:textAlignment w:val="center"/>
              <w:rPr>
                <w:color w:val="000000"/>
                <w:kern w:val="0"/>
                <w:sz w:val="21"/>
                <w:szCs w:val="21"/>
              </w:rPr>
            </w:pPr>
            <w:r>
              <w:rPr>
                <w:rFonts w:hint="eastAsia"/>
                <w:color w:val="000000"/>
                <w:kern w:val="0"/>
                <w:sz w:val="21"/>
                <w:szCs w:val="21"/>
              </w:rPr>
              <w:t>注</w:t>
            </w:r>
            <w:r>
              <w:rPr>
                <w:rFonts w:ascii="Times New Roman" w:hAnsi="Times New Roman" w:cs="Times New Roman"/>
                <w:color w:val="000000"/>
                <w:kern w:val="0"/>
                <w:sz w:val="21"/>
                <w:szCs w:val="21"/>
              </w:rPr>
              <w:t>2</w:t>
            </w:r>
            <w:r>
              <w:rPr>
                <w:rFonts w:hint="eastAsia"/>
                <w:color w:val="000000"/>
                <w:kern w:val="0"/>
                <w:sz w:val="21"/>
                <w:szCs w:val="21"/>
              </w:rPr>
              <w:t>：不同地区重要电力用户范围可参考各地区发展情况确定。</w:t>
            </w:r>
          </w:p>
        </w:tc>
      </w:tr>
    </w:tbl>
    <w:p>
      <w:pPr>
        <w:ind w:firstLine="0" w:firstLineChars="0"/>
      </w:pPr>
    </w:p>
    <w:p>
      <w:pPr>
        <w:ind w:firstLine="0" w:firstLineChars="0"/>
        <w:sectPr>
          <w:footerReference r:id="rId9" w:type="first"/>
          <w:footerReference r:id="rId8" w:type="default"/>
          <w:pgSz w:w="11907" w:h="16840"/>
          <w:pgMar w:top="2098" w:right="1474" w:bottom="1984" w:left="1587" w:header="851" w:footer="1531" w:gutter="0"/>
          <w:cols w:space="720" w:num="1"/>
          <w:titlePg/>
          <w:docGrid w:linePitch="579" w:charSpace="0"/>
        </w:sectPr>
      </w:pPr>
    </w:p>
    <w:p>
      <w:pPr>
        <w:pStyle w:val="4"/>
        <w:ind w:firstLine="0" w:firstLineChars="0"/>
        <w:rPr>
          <w:rFonts w:hint="eastAsia" w:ascii="黑体" w:hAnsi="黑体" w:eastAsia="黑体" w:cs="仿宋"/>
          <w:b w:val="0"/>
          <w:sz w:val="28"/>
          <w:szCs w:val="28"/>
          <w:lang w:val="en-US" w:eastAsia="zh-CN"/>
        </w:rPr>
      </w:pPr>
      <w:bookmarkStart w:id="178" w:name="_Toc6171"/>
      <w:bookmarkStart w:id="179" w:name="_Toc7349"/>
      <w:r>
        <w:rPr>
          <w:rFonts w:hint="eastAsia" w:ascii="黑体" w:hAnsi="黑体" w:eastAsia="黑体" w:cs="仿宋"/>
          <w:b w:val="0"/>
          <w:sz w:val="28"/>
          <w:szCs w:val="28"/>
        </w:rPr>
        <w:t>附件</w:t>
      </w:r>
      <w:bookmarkEnd w:id="178"/>
      <w:r>
        <w:rPr>
          <w:rFonts w:hint="eastAsia" w:ascii="黑体" w:hAnsi="黑体" w:eastAsia="黑体" w:cs="仿宋"/>
          <w:b w:val="0"/>
          <w:sz w:val="28"/>
          <w:szCs w:val="28"/>
          <w:lang w:val="en-US" w:eastAsia="zh-CN"/>
        </w:rPr>
        <w:t>4</w:t>
      </w:r>
    </w:p>
    <w:p>
      <w:pPr>
        <w:pStyle w:val="4"/>
        <w:ind w:firstLine="0" w:firstLineChars="0"/>
        <w:rPr>
          <w:rFonts w:ascii="方正小标宋简体" w:hAnsi="方正小标宋简体" w:eastAsia="方正小标宋简体" w:cs="方正小标宋简体"/>
          <w:b w:val="0"/>
          <w:sz w:val="44"/>
          <w:szCs w:val="44"/>
        </w:rPr>
      </w:pPr>
      <w:bookmarkStart w:id="180" w:name="_Toc25981"/>
    </w:p>
    <w:p>
      <w:pPr>
        <w:pStyle w:val="4"/>
        <w:ind w:firstLine="0" w:firstLineChars="0"/>
        <w:jc w:val="center"/>
        <w:rPr>
          <w:rFonts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b w:val="0"/>
          <w:sz w:val="44"/>
          <w:szCs w:val="44"/>
          <w:lang w:eastAsia="zh-CN"/>
        </w:rPr>
        <w:t>通化</w:t>
      </w:r>
      <w:r>
        <w:rPr>
          <w:rFonts w:hint="eastAsia" w:ascii="方正小标宋简体" w:hAnsi="方正小标宋简体" w:eastAsia="方正小标宋简体" w:cs="方正小标宋简体"/>
          <w:b w:val="0"/>
          <w:sz w:val="44"/>
          <w:szCs w:val="44"/>
        </w:rPr>
        <w:t>市大面积停电事件应急处置流程</w:t>
      </w:r>
      <w:bookmarkEnd w:id="179"/>
      <w:bookmarkEnd w:id="180"/>
    </w:p>
    <w:tbl>
      <w:tblPr>
        <w:tblStyle w:val="16"/>
        <w:tblW w:w="5000" w:type="pct"/>
        <w:jc w:val="center"/>
        <w:tblLayout w:type="fixed"/>
        <w:tblCellMar>
          <w:top w:w="0" w:type="dxa"/>
          <w:left w:w="0" w:type="dxa"/>
          <w:bottom w:w="0" w:type="dxa"/>
          <w:right w:w="0" w:type="dxa"/>
        </w:tblCellMar>
      </w:tblPr>
      <w:tblGrid>
        <w:gridCol w:w="502"/>
        <w:gridCol w:w="1360"/>
        <w:gridCol w:w="7014"/>
      </w:tblGrid>
      <w:tr>
        <w:tblPrEx>
          <w:tblCellMar>
            <w:top w:w="0" w:type="dxa"/>
            <w:left w:w="0" w:type="dxa"/>
            <w:bottom w:w="0" w:type="dxa"/>
            <w:right w:w="0" w:type="dxa"/>
          </w:tblCellMar>
        </w:tblPrEx>
        <w:trPr>
          <w:trHeight w:val="567" w:hRule="exact"/>
          <w:jc w:val="center"/>
        </w:trPr>
        <w:tc>
          <w:tcPr>
            <w:tcW w:w="5000"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0" w:firstLineChars="0"/>
              <w:jc w:val="center"/>
              <w:textAlignment w:val="center"/>
              <w:rPr>
                <w:color w:val="000000"/>
                <w:sz w:val="21"/>
                <w:szCs w:val="21"/>
              </w:rPr>
            </w:pPr>
            <w:r>
              <w:rPr>
                <w:rFonts w:hint="eastAsia"/>
                <w:b/>
                <w:bCs/>
                <w:color w:val="000000"/>
                <w:sz w:val="21"/>
                <w:szCs w:val="21"/>
              </w:rPr>
              <w:t>综合协调组</w:t>
            </w:r>
          </w:p>
        </w:tc>
      </w:tr>
      <w:tr>
        <w:tblPrEx>
          <w:tblCellMar>
            <w:top w:w="0" w:type="dxa"/>
            <w:left w:w="0" w:type="dxa"/>
            <w:bottom w:w="0" w:type="dxa"/>
            <w:right w:w="0" w:type="dxa"/>
          </w:tblCellMar>
        </w:tblPrEx>
        <w:trPr>
          <w:trHeight w:val="567" w:hRule="exact"/>
          <w:jc w:val="center"/>
        </w:trPr>
        <w:tc>
          <w:tcPr>
            <w:tcW w:w="5000"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0" w:firstLineChars="0"/>
              <w:jc w:val="left"/>
              <w:textAlignment w:val="center"/>
              <w:rPr>
                <w:color w:val="000000"/>
                <w:kern w:val="0"/>
                <w:sz w:val="21"/>
                <w:szCs w:val="21"/>
              </w:rPr>
            </w:pPr>
            <w:r>
              <w:rPr>
                <w:rFonts w:hint="eastAsia"/>
                <w:color w:val="000000"/>
                <w:kern w:val="0"/>
                <w:sz w:val="21"/>
                <w:szCs w:val="21"/>
              </w:rPr>
              <w:t>职责：由市发改委牵头，</w:t>
            </w:r>
            <w:r>
              <w:rPr>
                <w:rFonts w:hint="eastAsia"/>
                <w:sz w:val="21"/>
                <w:szCs w:val="21"/>
                <w:highlight w:val="none"/>
                <w:lang w:eastAsia="zh-CN"/>
              </w:rPr>
              <w:t>负责大面积停电事件的预警管理和信息报告，</w:t>
            </w:r>
            <w:r>
              <w:rPr>
                <w:rFonts w:hint="eastAsia"/>
                <w:color w:val="000000"/>
                <w:kern w:val="0"/>
                <w:sz w:val="21"/>
                <w:szCs w:val="21"/>
              </w:rPr>
              <w:t>联络和协调成员单位，执行市指挥部下达的应急指令，监督各成员单位按照职责分工开展工作。</w:t>
            </w:r>
          </w:p>
        </w:tc>
      </w:tr>
      <w:tr>
        <w:tblPrEx>
          <w:tblCellMar>
            <w:top w:w="0" w:type="dxa"/>
            <w:left w:w="0" w:type="dxa"/>
            <w:bottom w:w="0" w:type="dxa"/>
            <w:right w:w="0" w:type="dxa"/>
          </w:tblCellMar>
        </w:tblPrEx>
        <w:trPr>
          <w:trHeight w:val="567" w:hRule="exact"/>
          <w:jc w:val="center"/>
        </w:trPr>
        <w:tc>
          <w:tcPr>
            <w:tcW w:w="2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0" w:firstLineChars="0"/>
              <w:jc w:val="center"/>
              <w:textAlignment w:val="center"/>
              <w:rPr>
                <w:color w:val="000000"/>
                <w:kern w:val="0"/>
                <w:sz w:val="21"/>
                <w:szCs w:val="21"/>
              </w:rPr>
            </w:pPr>
            <w:r>
              <w:rPr>
                <w:rFonts w:hint="eastAsia"/>
                <w:color w:val="000000"/>
                <w:kern w:val="0"/>
                <w:sz w:val="21"/>
                <w:szCs w:val="21"/>
              </w:rPr>
              <w:t>序号</w:t>
            </w:r>
          </w:p>
        </w:tc>
        <w:tc>
          <w:tcPr>
            <w:tcW w:w="76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0" w:firstLineChars="0"/>
              <w:jc w:val="center"/>
              <w:textAlignment w:val="center"/>
              <w:rPr>
                <w:color w:val="000000"/>
                <w:kern w:val="0"/>
                <w:sz w:val="21"/>
                <w:szCs w:val="21"/>
              </w:rPr>
            </w:pPr>
            <w:r>
              <w:rPr>
                <w:rFonts w:hint="eastAsia"/>
                <w:color w:val="000000"/>
                <w:kern w:val="0"/>
                <w:sz w:val="21"/>
                <w:szCs w:val="21"/>
              </w:rPr>
              <w:t>部门</w:t>
            </w:r>
          </w:p>
        </w:tc>
        <w:tc>
          <w:tcPr>
            <w:tcW w:w="395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0" w:firstLineChars="0"/>
              <w:jc w:val="center"/>
              <w:textAlignment w:val="center"/>
              <w:rPr>
                <w:color w:val="000000"/>
                <w:kern w:val="0"/>
                <w:sz w:val="21"/>
                <w:szCs w:val="21"/>
              </w:rPr>
            </w:pPr>
            <w:r>
              <w:rPr>
                <w:rFonts w:hint="eastAsia"/>
                <w:color w:val="000000"/>
                <w:kern w:val="0"/>
                <w:sz w:val="21"/>
                <w:szCs w:val="21"/>
              </w:rPr>
              <w:t>具体工作流程</w:t>
            </w:r>
          </w:p>
        </w:tc>
      </w:tr>
      <w:tr>
        <w:tblPrEx>
          <w:tblCellMar>
            <w:top w:w="0" w:type="dxa"/>
            <w:left w:w="0" w:type="dxa"/>
            <w:bottom w:w="0" w:type="dxa"/>
            <w:right w:w="0" w:type="dxa"/>
          </w:tblCellMar>
        </w:tblPrEx>
        <w:trPr>
          <w:trHeight w:val="1237" w:hRule="exact"/>
          <w:jc w:val="center"/>
        </w:trPr>
        <w:tc>
          <w:tcPr>
            <w:tcW w:w="2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0" w:firstLineChars="0"/>
              <w:jc w:val="center"/>
              <w:textAlignment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p>
        </w:tc>
        <w:tc>
          <w:tcPr>
            <w:tcW w:w="76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0" w:firstLineChars="0"/>
              <w:jc w:val="center"/>
              <w:textAlignment w:val="center"/>
              <w:rPr>
                <w:color w:val="000000"/>
                <w:kern w:val="0"/>
                <w:sz w:val="21"/>
                <w:szCs w:val="21"/>
              </w:rPr>
            </w:pPr>
            <w:r>
              <w:rPr>
                <w:rFonts w:hint="eastAsia"/>
                <w:color w:val="000000"/>
                <w:kern w:val="0"/>
                <w:sz w:val="21"/>
                <w:szCs w:val="21"/>
              </w:rPr>
              <w:t>市发改委</w:t>
            </w:r>
          </w:p>
        </w:tc>
        <w:tc>
          <w:tcPr>
            <w:tcW w:w="395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60" w:lineRule="exact"/>
              <w:ind w:firstLine="0" w:firstLineChars="0"/>
              <w:jc w:val="left"/>
              <w:textAlignment w:val="center"/>
              <w:rPr>
                <w:color w:val="000000"/>
                <w:kern w:val="0"/>
                <w:sz w:val="21"/>
                <w:szCs w:val="21"/>
              </w:rPr>
            </w:pPr>
            <w:r>
              <w:rPr>
                <w:rFonts w:hint="eastAsia"/>
                <w:color w:val="000000"/>
                <w:kern w:val="0"/>
                <w:sz w:val="21"/>
                <w:szCs w:val="21"/>
              </w:rPr>
              <w:t>负责联络和协调成员单位开展应急工作，迅速掌握大面积停电情况，及时向市指挥部报送事故情况，协调成员单位落实市指挥部下达的应急指令，监督各成员单位应急职责执行情况，掌握应急处理和供电恢复情况，及时向指挥部汇报应急处置进展，会同新闻宣传组发布有关信息。</w:t>
            </w:r>
          </w:p>
        </w:tc>
      </w:tr>
      <w:tr>
        <w:tblPrEx>
          <w:tblCellMar>
            <w:top w:w="0" w:type="dxa"/>
            <w:left w:w="0" w:type="dxa"/>
            <w:bottom w:w="0" w:type="dxa"/>
            <w:right w:w="0" w:type="dxa"/>
          </w:tblCellMar>
        </w:tblPrEx>
        <w:trPr>
          <w:trHeight w:val="567" w:hRule="exact"/>
          <w:jc w:val="center"/>
        </w:trPr>
        <w:tc>
          <w:tcPr>
            <w:tcW w:w="2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0" w:firstLineChars="0"/>
              <w:jc w:val="center"/>
              <w:textAlignment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w:t>
            </w:r>
          </w:p>
        </w:tc>
        <w:tc>
          <w:tcPr>
            <w:tcW w:w="76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0" w:firstLineChars="0"/>
              <w:jc w:val="center"/>
              <w:textAlignment w:val="center"/>
              <w:rPr>
                <w:color w:val="000000"/>
                <w:kern w:val="0"/>
                <w:sz w:val="21"/>
                <w:szCs w:val="21"/>
              </w:rPr>
            </w:pPr>
            <w:r>
              <w:rPr>
                <w:rFonts w:hint="eastAsia"/>
                <w:color w:val="000000"/>
                <w:kern w:val="0"/>
                <w:sz w:val="21"/>
                <w:szCs w:val="21"/>
              </w:rPr>
              <w:t>国网</w:t>
            </w:r>
            <w:r>
              <w:rPr>
                <w:rFonts w:hint="eastAsia"/>
                <w:color w:val="000000"/>
                <w:kern w:val="0"/>
                <w:sz w:val="21"/>
                <w:szCs w:val="21"/>
                <w:lang w:eastAsia="zh-CN"/>
              </w:rPr>
              <w:t>通化</w:t>
            </w:r>
            <w:r>
              <w:rPr>
                <w:rFonts w:hint="eastAsia"/>
                <w:color w:val="000000"/>
                <w:kern w:val="0"/>
                <w:sz w:val="21"/>
                <w:szCs w:val="21"/>
              </w:rPr>
              <w:t>供电公司</w:t>
            </w:r>
          </w:p>
        </w:tc>
        <w:tc>
          <w:tcPr>
            <w:tcW w:w="395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60" w:lineRule="exact"/>
              <w:ind w:firstLine="0" w:firstLineChars="0"/>
              <w:jc w:val="left"/>
              <w:textAlignment w:val="center"/>
              <w:rPr>
                <w:color w:val="000000"/>
                <w:kern w:val="0"/>
                <w:sz w:val="21"/>
                <w:szCs w:val="21"/>
              </w:rPr>
            </w:pPr>
            <w:r>
              <w:rPr>
                <w:rFonts w:hint="eastAsia"/>
                <w:color w:val="000000"/>
                <w:kern w:val="0"/>
                <w:sz w:val="21"/>
                <w:szCs w:val="21"/>
              </w:rPr>
              <w:t>牵头承担电力恢复组工作职责，接受应急指挥部领导，联络和协调电力应急抢修队伍开展应急抢修工作，及时掌握电力抢修进况，及时向牵头单位汇报。</w:t>
            </w:r>
          </w:p>
        </w:tc>
      </w:tr>
      <w:tr>
        <w:tblPrEx>
          <w:tblCellMar>
            <w:top w:w="0" w:type="dxa"/>
            <w:left w:w="0" w:type="dxa"/>
            <w:bottom w:w="0" w:type="dxa"/>
            <w:right w:w="0" w:type="dxa"/>
          </w:tblCellMar>
        </w:tblPrEx>
        <w:trPr>
          <w:trHeight w:val="567" w:hRule="exact"/>
          <w:jc w:val="center"/>
        </w:trPr>
        <w:tc>
          <w:tcPr>
            <w:tcW w:w="2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0" w:firstLineChars="0"/>
              <w:jc w:val="center"/>
              <w:textAlignment w:val="center"/>
              <w:rPr>
                <w:rFonts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3</w:t>
            </w:r>
          </w:p>
        </w:tc>
        <w:tc>
          <w:tcPr>
            <w:tcW w:w="76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0" w:firstLineChars="0"/>
              <w:jc w:val="center"/>
              <w:textAlignment w:val="center"/>
              <w:rPr>
                <w:color w:val="000000"/>
                <w:kern w:val="0"/>
                <w:sz w:val="21"/>
                <w:szCs w:val="21"/>
              </w:rPr>
            </w:pPr>
            <w:r>
              <w:rPr>
                <w:rFonts w:hint="eastAsia"/>
                <w:color w:val="000000"/>
                <w:kern w:val="0"/>
                <w:sz w:val="21"/>
                <w:szCs w:val="21"/>
              </w:rPr>
              <w:t>市委宣传部</w:t>
            </w:r>
          </w:p>
        </w:tc>
        <w:tc>
          <w:tcPr>
            <w:tcW w:w="395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60" w:lineRule="exact"/>
              <w:ind w:firstLine="0" w:firstLineChars="0"/>
              <w:jc w:val="left"/>
              <w:textAlignment w:val="center"/>
              <w:rPr>
                <w:color w:val="000000"/>
                <w:kern w:val="0"/>
                <w:sz w:val="21"/>
                <w:szCs w:val="21"/>
              </w:rPr>
            </w:pPr>
            <w:r>
              <w:rPr>
                <w:rFonts w:hint="eastAsia"/>
                <w:color w:val="000000"/>
                <w:kern w:val="0"/>
                <w:sz w:val="21"/>
                <w:szCs w:val="21"/>
              </w:rPr>
              <w:t xml:space="preserve">牵头承担舆论引导组工作职责。 </w:t>
            </w:r>
          </w:p>
        </w:tc>
      </w:tr>
      <w:tr>
        <w:tblPrEx>
          <w:tblCellMar>
            <w:top w:w="0" w:type="dxa"/>
            <w:left w:w="0" w:type="dxa"/>
            <w:bottom w:w="0" w:type="dxa"/>
            <w:right w:w="0" w:type="dxa"/>
          </w:tblCellMar>
        </w:tblPrEx>
        <w:trPr>
          <w:trHeight w:val="567" w:hRule="exact"/>
          <w:jc w:val="center"/>
        </w:trPr>
        <w:tc>
          <w:tcPr>
            <w:tcW w:w="2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0" w:firstLineChars="0"/>
              <w:jc w:val="center"/>
              <w:textAlignment w:val="center"/>
              <w:rPr>
                <w:rFonts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4</w:t>
            </w:r>
          </w:p>
        </w:tc>
        <w:tc>
          <w:tcPr>
            <w:tcW w:w="76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0" w:firstLineChars="0"/>
              <w:jc w:val="center"/>
              <w:textAlignment w:val="center"/>
              <w:rPr>
                <w:color w:val="000000"/>
                <w:kern w:val="0"/>
                <w:sz w:val="21"/>
                <w:szCs w:val="21"/>
              </w:rPr>
            </w:pPr>
            <w:r>
              <w:rPr>
                <w:rFonts w:hint="eastAsia"/>
                <w:color w:val="000000"/>
                <w:kern w:val="0"/>
                <w:sz w:val="21"/>
                <w:szCs w:val="21"/>
              </w:rPr>
              <w:t>市应急局</w:t>
            </w:r>
          </w:p>
        </w:tc>
        <w:tc>
          <w:tcPr>
            <w:tcW w:w="395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60" w:lineRule="exact"/>
              <w:ind w:firstLine="0" w:firstLineChars="0"/>
              <w:jc w:val="left"/>
              <w:textAlignment w:val="center"/>
              <w:rPr>
                <w:color w:val="000000"/>
                <w:kern w:val="0"/>
                <w:sz w:val="21"/>
                <w:szCs w:val="21"/>
              </w:rPr>
            </w:pPr>
            <w:r>
              <w:rPr>
                <w:rFonts w:hint="eastAsia"/>
                <w:color w:val="000000"/>
                <w:kern w:val="0"/>
                <w:sz w:val="21"/>
                <w:szCs w:val="21"/>
              </w:rPr>
              <w:t>牵头承担应急保障组工作职责。</w:t>
            </w:r>
          </w:p>
        </w:tc>
      </w:tr>
      <w:tr>
        <w:tblPrEx>
          <w:tblCellMar>
            <w:top w:w="0" w:type="dxa"/>
            <w:left w:w="0" w:type="dxa"/>
            <w:bottom w:w="0" w:type="dxa"/>
            <w:right w:w="0" w:type="dxa"/>
          </w:tblCellMar>
        </w:tblPrEx>
        <w:trPr>
          <w:trHeight w:val="567" w:hRule="exact"/>
          <w:jc w:val="center"/>
        </w:trPr>
        <w:tc>
          <w:tcPr>
            <w:tcW w:w="2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0" w:firstLineChars="0"/>
              <w:jc w:val="center"/>
              <w:textAlignment w:val="center"/>
              <w:rPr>
                <w:rFonts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5</w:t>
            </w:r>
          </w:p>
        </w:tc>
        <w:tc>
          <w:tcPr>
            <w:tcW w:w="76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0" w:firstLineChars="0"/>
              <w:jc w:val="center"/>
              <w:textAlignment w:val="center"/>
              <w:rPr>
                <w:color w:val="000000"/>
                <w:kern w:val="0"/>
                <w:sz w:val="21"/>
                <w:szCs w:val="21"/>
              </w:rPr>
            </w:pPr>
            <w:r>
              <w:rPr>
                <w:rFonts w:hint="eastAsia"/>
                <w:color w:val="000000"/>
                <w:kern w:val="0"/>
                <w:sz w:val="21"/>
                <w:szCs w:val="21"/>
              </w:rPr>
              <w:t>市公安局</w:t>
            </w:r>
          </w:p>
        </w:tc>
        <w:tc>
          <w:tcPr>
            <w:tcW w:w="395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60" w:lineRule="exact"/>
              <w:ind w:firstLine="0" w:firstLineChars="0"/>
              <w:jc w:val="left"/>
              <w:textAlignment w:val="center"/>
              <w:rPr>
                <w:color w:val="000000"/>
                <w:kern w:val="0"/>
                <w:sz w:val="21"/>
                <w:szCs w:val="21"/>
              </w:rPr>
            </w:pPr>
            <w:r>
              <w:rPr>
                <w:rFonts w:hint="eastAsia"/>
                <w:color w:val="000000"/>
                <w:kern w:val="0"/>
                <w:sz w:val="21"/>
                <w:szCs w:val="21"/>
              </w:rPr>
              <w:t>牵头承担社会稳定组工作职责。</w:t>
            </w:r>
          </w:p>
        </w:tc>
      </w:tr>
      <w:tr>
        <w:tblPrEx>
          <w:tblCellMar>
            <w:top w:w="0" w:type="dxa"/>
            <w:left w:w="0" w:type="dxa"/>
            <w:bottom w:w="0" w:type="dxa"/>
            <w:right w:w="0" w:type="dxa"/>
          </w:tblCellMar>
        </w:tblPrEx>
        <w:trPr>
          <w:trHeight w:val="567" w:hRule="exact"/>
          <w:jc w:val="center"/>
        </w:trPr>
        <w:tc>
          <w:tcPr>
            <w:tcW w:w="5000"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0" w:firstLineChars="0"/>
              <w:jc w:val="center"/>
              <w:textAlignment w:val="center"/>
              <w:rPr>
                <w:color w:val="000000"/>
                <w:kern w:val="0"/>
                <w:sz w:val="21"/>
                <w:szCs w:val="21"/>
              </w:rPr>
            </w:pPr>
            <w:r>
              <w:rPr>
                <w:rFonts w:hint="eastAsia"/>
                <w:b/>
                <w:bCs/>
                <w:color w:val="000000"/>
                <w:kern w:val="0"/>
                <w:sz w:val="21"/>
                <w:szCs w:val="21"/>
              </w:rPr>
              <w:t>电力恢复组</w:t>
            </w:r>
          </w:p>
        </w:tc>
      </w:tr>
      <w:tr>
        <w:tblPrEx>
          <w:tblCellMar>
            <w:top w:w="0" w:type="dxa"/>
            <w:left w:w="0" w:type="dxa"/>
            <w:bottom w:w="0" w:type="dxa"/>
            <w:right w:w="0" w:type="dxa"/>
          </w:tblCellMar>
        </w:tblPrEx>
        <w:trPr>
          <w:trHeight w:val="872" w:hRule="exact"/>
          <w:jc w:val="center"/>
        </w:trPr>
        <w:tc>
          <w:tcPr>
            <w:tcW w:w="5000"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60" w:lineRule="exact"/>
              <w:ind w:firstLine="0" w:firstLineChars="0"/>
              <w:jc w:val="left"/>
              <w:textAlignment w:val="center"/>
              <w:rPr>
                <w:color w:val="000000"/>
                <w:kern w:val="0"/>
                <w:sz w:val="21"/>
                <w:szCs w:val="21"/>
              </w:rPr>
            </w:pPr>
            <w:r>
              <w:rPr>
                <w:rFonts w:hint="eastAsia"/>
                <w:color w:val="000000"/>
                <w:kern w:val="0"/>
                <w:sz w:val="21"/>
                <w:szCs w:val="21"/>
              </w:rPr>
              <w:t>职责：由国网</w:t>
            </w:r>
            <w:r>
              <w:rPr>
                <w:rFonts w:hint="eastAsia"/>
                <w:color w:val="000000"/>
                <w:kern w:val="0"/>
                <w:sz w:val="21"/>
                <w:szCs w:val="21"/>
                <w:lang w:eastAsia="zh-CN"/>
              </w:rPr>
              <w:t>通化</w:t>
            </w:r>
            <w:r>
              <w:rPr>
                <w:rFonts w:hint="eastAsia"/>
                <w:color w:val="000000"/>
                <w:kern w:val="0"/>
                <w:sz w:val="21"/>
                <w:szCs w:val="21"/>
              </w:rPr>
              <w:t>供电公司牵头，</w:t>
            </w:r>
            <w:r>
              <w:rPr>
                <w:rFonts w:hint="eastAsia" w:ascii="仿宋" w:hAnsi="仿宋" w:eastAsia="仿宋" w:cs="仿宋"/>
                <w:sz w:val="21"/>
                <w:szCs w:val="21"/>
                <w:highlight w:val="none"/>
                <w:lang w:eastAsia="zh-CN"/>
              </w:rPr>
              <w:t>负责大面积停电事件监测、预警分析及信息报告，电网抢修恢复和应急供电保障等工作，</w:t>
            </w:r>
            <w:r>
              <w:rPr>
                <w:rFonts w:hint="eastAsia"/>
                <w:color w:val="000000"/>
                <w:kern w:val="0"/>
                <w:sz w:val="21"/>
                <w:szCs w:val="21"/>
                <w:highlight w:val="none"/>
              </w:rPr>
              <w:t>组织进行</w:t>
            </w:r>
            <w:r>
              <w:rPr>
                <w:rFonts w:hint="eastAsia"/>
                <w:color w:val="000000"/>
                <w:kern w:val="0"/>
                <w:sz w:val="21"/>
                <w:szCs w:val="21"/>
              </w:rPr>
              <w:t>技术研判，开展事态分析，组织开展电力抢修恢复工作，尽快恢复受影响区域供电，做好重要电力用户、重点区域的临时供电保障。</w:t>
            </w:r>
          </w:p>
        </w:tc>
      </w:tr>
      <w:tr>
        <w:tblPrEx>
          <w:tblCellMar>
            <w:top w:w="0" w:type="dxa"/>
            <w:left w:w="0" w:type="dxa"/>
            <w:bottom w:w="0" w:type="dxa"/>
            <w:right w:w="0" w:type="dxa"/>
          </w:tblCellMar>
        </w:tblPrEx>
        <w:trPr>
          <w:trHeight w:val="567" w:hRule="exact"/>
          <w:jc w:val="center"/>
        </w:trPr>
        <w:tc>
          <w:tcPr>
            <w:tcW w:w="2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0" w:firstLineChars="0"/>
              <w:jc w:val="center"/>
              <w:textAlignment w:val="center"/>
              <w:rPr>
                <w:color w:val="000000"/>
                <w:sz w:val="21"/>
                <w:szCs w:val="21"/>
              </w:rPr>
            </w:pPr>
            <w:r>
              <w:rPr>
                <w:rFonts w:hint="eastAsia"/>
                <w:color w:val="000000"/>
                <w:kern w:val="0"/>
                <w:sz w:val="21"/>
                <w:szCs w:val="21"/>
              </w:rPr>
              <w:t>序号</w:t>
            </w:r>
          </w:p>
        </w:tc>
        <w:tc>
          <w:tcPr>
            <w:tcW w:w="76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0" w:firstLineChars="0"/>
              <w:jc w:val="center"/>
              <w:textAlignment w:val="center"/>
              <w:rPr>
                <w:color w:val="000000"/>
                <w:sz w:val="21"/>
                <w:szCs w:val="21"/>
              </w:rPr>
            </w:pPr>
            <w:r>
              <w:rPr>
                <w:rFonts w:hint="eastAsia"/>
                <w:color w:val="000000"/>
                <w:kern w:val="0"/>
                <w:sz w:val="21"/>
                <w:szCs w:val="21"/>
              </w:rPr>
              <w:t>部门</w:t>
            </w:r>
          </w:p>
        </w:tc>
        <w:tc>
          <w:tcPr>
            <w:tcW w:w="395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0" w:firstLineChars="0"/>
              <w:jc w:val="center"/>
              <w:textAlignment w:val="center"/>
              <w:rPr>
                <w:color w:val="000000"/>
                <w:sz w:val="21"/>
                <w:szCs w:val="21"/>
              </w:rPr>
            </w:pPr>
            <w:r>
              <w:rPr>
                <w:rFonts w:hint="eastAsia"/>
                <w:color w:val="000000"/>
                <w:kern w:val="0"/>
                <w:sz w:val="21"/>
                <w:szCs w:val="21"/>
              </w:rPr>
              <w:t>具体工作流程</w:t>
            </w:r>
          </w:p>
        </w:tc>
      </w:tr>
      <w:tr>
        <w:tblPrEx>
          <w:tblCellMar>
            <w:top w:w="0" w:type="dxa"/>
            <w:left w:w="0" w:type="dxa"/>
            <w:bottom w:w="0" w:type="dxa"/>
            <w:right w:w="0" w:type="dxa"/>
          </w:tblCellMar>
        </w:tblPrEx>
        <w:trPr>
          <w:trHeight w:val="1161" w:hRule="exact"/>
          <w:jc w:val="center"/>
        </w:trPr>
        <w:tc>
          <w:tcPr>
            <w:tcW w:w="2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0" w:firstLineChars="0"/>
              <w:jc w:val="center"/>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1</w:t>
            </w:r>
          </w:p>
        </w:tc>
        <w:tc>
          <w:tcPr>
            <w:tcW w:w="76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0" w:firstLineChars="0"/>
              <w:jc w:val="center"/>
              <w:textAlignment w:val="center"/>
              <w:rPr>
                <w:color w:val="000000"/>
                <w:sz w:val="21"/>
                <w:szCs w:val="21"/>
              </w:rPr>
            </w:pPr>
            <w:r>
              <w:rPr>
                <w:rFonts w:hint="eastAsia"/>
                <w:color w:val="000000"/>
                <w:sz w:val="21"/>
                <w:szCs w:val="21"/>
              </w:rPr>
              <w:t>国网</w:t>
            </w:r>
            <w:r>
              <w:rPr>
                <w:rFonts w:hint="eastAsia"/>
                <w:color w:val="000000"/>
                <w:sz w:val="21"/>
                <w:szCs w:val="21"/>
                <w:lang w:eastAsia="zh-CN"/>
              </w:rPr>
              <w:t>通化</w:t>
            </w:r>
            <w:r>
              <w:rPr>
                <w:rFonts w:hint="eastAsia"/>
                <w:color w:val="000000"/>
                <w:sz w:val="21"/>
                <w:szCs w:val="21"/>
              </w:rPr>
              <w:t>供电公司</w:t>
            </w:r>
          </w:p>
        </w:tc>
        <w:tc>
          <w:tcPr>
            <w:tcW w:w="395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60" w:lineRule="exact"/>
              <w:ind w:firstLine="0" w:firstLineChars="0"/>
              <w:jc w:val="left"/>
              <w:textAlignment w:val="center"/>
              <w:rPr>
                <w:color w:val="000000"/>
                <w:kern w:val="0"/>
                <w:sz w:val="21"/>
                <w:szCs w:val="21"/>
              </w:rPr>
            </w:pPr>
            <w:r>
              <w:rPr>
                <w:rFonts w:hint="eastAsia"/>
                <w:color w:val="000000"/>
                <w:kern w:val="0"/>
                <w:sz w:val="21"/>
                <w:szCs w:val="21"/>
              </w:rPr>
              <w:t>迅速掌握大面积停电情况，向市电力应急指挥部提出处置建议；组织研判事件态势，按程序向社会公众发布预警，组织开展电力抢修恢复工作，尽快恢复受影响区域供电，做好重要电力用户、重点区域的临时供电保障。并通报其他相关部门和单位。</w:t>
            </w:r>
          </w:p>
        </w:tc>
      </w:tr>
      <w:tr>
        <w:tblPrEx>
          <w:tblCellMar>
            <w:top w:w="0" w:type="dxa"/>
            <w:left w:w="0" w:type="dxa"/>
            <w:bottom w:w="0" w:type="dxa"/>
            <w:right w:w="0" w:type="dxa"/>
          </w:tblCellMar>
        </w:tblPrEx>
        <w:trPr>
          <w:trHeight w:val="567" w:hRule="exact"/>
          <w:jc w:val="center"/>
        </w:trPr>
        <w:tc>
          <w:tcPr>
            <w:tcW w:w="2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0" w:firstLineChars="0"/>
              <w:jc w:val="center"/>
              <w:textAlignment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w:t>
            </w:r>
          </w:p>
        </w:tc>
        <w:tc>
          <w:tcPr>
            <w:tcW w:w="76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0" w:firstLineChars="0"/>
              <w:jc w:val="center"/>
              <w:textAlignment w:val="center"/>
              <w:rPr>
                <w:color w:val="000000"/>
                <w:kern w:val="0"/>
                <w:sz w:val="21"/>
                <w:szCs w:val="21"/>
              </w:rPr>
            </w:pPr>
            <w:r>
              <w:rPr>
                <w:rFonts w:hint="eastAsia"/>
                <w:color w:val="000000"/>
                <w:kern w:val="0"/>
                <w:sz w:val="21"/>
                <w:szCs w:val="21"/>
              </w:rPr>
              <w:t>市工信局</w:t>
            </w:r>
          </w:p>
        </w:tc>
        <w:tc>
          <w:tcPr>
            <w:tcW w:w="395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60" w:lineRule="exact"/>
              <w:ind w:firstLine="0" w:firstLineChars="0"/>
              <w:jc w:val="left"/>
              <w:textAlignment w:val="center"/>
              <w:rPr>
                <w:color w:val="000000"/>
                <w:kern w:val="0"/>
                <w:sz w:val="21"/>
                <w:szCs w:val="21"/>
              </w:rPr>
            </w:pPr>
            <w:r>
              <w:rPr>
                <w:rFonts w:hint="eastAsia"/>
                <w:color w:val="000000"/>
                <w:kern w:val="0"/>
                <w:sz w:val="21"/>
                <w:szCs w:val="21"/>
              </w:rPr>
              <w:t>落实应急指挥部指令，参与技术研判，开展事态分析；协助供电抢修单位开展电力恢复工作。及时向牵头单位汇报工作进展。</w:t>
            </w:r>
          </w:p>
        </w:tc>
      </w:tr>
      <w:tr>
        <w:tblPrEx>
          <w:tblCellMar>
            <w:top w:w="0" w:type="dxa"/>
            <w:left w:w="0" w:type="dxa"/>
            <w:bottom w:w="0" w:type="dxa"/>
            <w:right w:w="0" w:type="dxa"/>
          </w:tblCellMar>
        </w:tblPrEx>
        <w:trPr>
          <w:trHeight w:val="567" w:hRule="exact"/>
          <w:jc w:val="center"/>
        </w:trPr>
        <w:tc>
          <w:tcPr>
            <w:tcW w:w="2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0" w:firstLineChars="0"/>
              <w:jc w:val="center"/>
              <w:textAlignment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w:t>
            </w:r>
          </w:p>
        </w:tc>
        <w:tc>
          <w:tcPr>
            <w:tcW w:w="76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0" w:firstLineChars="0"/>
              <w:jc w:val="center"/>
              <w:textAlignment w:val="center"/>
              <w:rPr>
                <w:color w:val="000000"/>
                <w:kern w:val="0"/>
                <w:sz w:val="21"/>
                <w:szCs w:val="21"/>
              </w:rPr>
            </w:pPr>
            <w:r>
              <w:rPr>
                <w:rFonts w:hint="eastAsia"/>
                <w:color w:val="000000"/>
                <w:kern w:val="0"/>
                <w:sz w:val="21"/>
                <w:szCs w:val="21"/>
              </w:rPr>
              <w:t>市公安局</w:t>
            </w:r>
          </w:p>
        </w:tc>
        <w:tc>
          <w:tcPr>
            <w:tcW w:w="395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60" w:lineRule="exact"/>
              <w:ind w:firstLine="0" w:firstLineChars="0"/>
              <w:jc w:val="left"/>
              <w:textAlignment w:val="center"/>
              <w:rPr>
                <w:color w:val="000000"/>
                <w:kern w:val="0"/>
                <w:sz w:val="21"/>
                <w:szCs w:val="21"/>
              </w:rPr>
            </w:pPr>
            <w:r>
              <w:rPr>
                <w:rFonts w:hint="eastAsia"/>
                <w:color w:val="000000"/>
                <w:kern w:val="0"/>
                <w:sz w:val="21"/>
                <w:szCs w:val="21"/>
              </w:rPr>
              <w:t>落实应急指挥部指令，参与技术研判，开展事态分析；协助供电抢修单位开展电力恢复工作。及时向牵头单位汇报工作进展。</w:t>
            </w:r>
          </w:p>
        </w:tc>
      </w:tr>
      <w:tr>
        <w:tblPrEx>
          <w:tblCellMar>
            <w:top w:w="0" w:type="dxa"/>
            <w:left w:w="0" w:type="dxa"/>
            <w:bottom w:w="0" w:type="dxa"/>
            <w:right w:w="0" w:type="dxa"/>
          </w:tblCellMar>
        </w:tblPrEx>
        <w:trPr>
          <w:trHeight w:val="567" w:hRule="exact"/>
          <w:jc w:val="center"/>
        </w:trPr>
        <w:tc>
          <w:tcPr>
            <w:tcW w:w="2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0" w:firstLineChars="0"/>
              <w:jc w:val="center"/>
              <w:textAlignment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4</w:t>
            </w:r>
          </w:p>
        </w:tc>
        <w:tc>
          <w:tcPr>
            <w:tcW w:w="76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0" w:firstLineChars="0"/>
              <w:jc w:val="center"/>
              <w:textAlignment w:val="center"/>
              <w:rPr>
                <w:color w:val="000000"/>
                <w:kern w:val="0"/>
                <w:sz w:val="21"/>
                <w:szCs w:val="21"/>
              </w:rPr>
            </w:pPr>
            <w:r>
              <w:rPr>
                <w:rFonts w:hint="eastAsia"/>
                <w:color w:val="000000"/>
                <w:kern w:val="0"/>
                <w:sz w:val="21"/>
                <w:szCs w:val="21"/>
              </w:rPr>
              <w:t>市水利局</w:t>
            </w:r>
          </w:p>
        </w:tc>
        <w:tc>
          <w:tcPr>
            <w:tcW w:w="395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60" w:lineRule="exact"/>
              <w:ind w:firstLine="0" w:firstLineChars="0"/>
              <w:jc w:val="left"/>
              <w:textAlignment w:val="center"/>
              <w:rPr>
                <w:color w:val="000000"/>
                <w:kern w:val="0"/>
                <w:sz w:val="21"/>
                <w:szCs w:val="21"/>
              </w:rPr>
            </w:pPr>
            <w:r>
              <w:rPr>
                <w:rFonts w:hint="eastAsia"/>
                <w:color w:val="000000"/>
                <w:kern w:val="0"/>
                <w:sz w:val="21"/>
                <w:szCs w:val="21"/>
              </w:rPr>
              <w:t>落实应急指挥部指令，参与技术研判，开展事态分析；协助供电抢修单位开展电力恢复工作。及时向牵头单位汇报工作进展。</w:t>
            </w:r>
          </w:p>
        </w:tc>
      </w:tr>
      <w:tr>
        <w:tblPrEx>
          <w:tblCellMar>
            <w:top w:w="0" w:type="dxa"/>
            <w:left w:w="0" w:type="dxa"/>
            <w:bottom w:w="0" w:type="dxa"/>
            <w:right w:w="0" w:type="dxa"/>
          </w:tblCellMar>
        </w:tblPrEx>
        <w:trPr>
          <w:trHeight w:val="567" w:hRule="exact"/>
          <w:jc w:val="center"/>
        </w:trPr>
        <w:tc>
          <w:tcPr>
            <w:tcW w:w="2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0" w:firstLineChars="0"/>
              <w:jc w:val="center"/>
              <w:textAlignment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5</w:t>
            </w:r>
          </w:p>
        </w:tc>
        <w:tc>
          <w:tcPr>
            <w:tcW w:w="76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0" w:firstLineChars="0"/>
              <w:jc w:val="center"/>
              <w:textAlignment w:val="center"/>
              <w:rPr>
                <w:color w:val="000000"/>
                <w:kern w:val="0"/>
                <w:sz w:val="21"/>
                <w:szCs w:val="21"/>
              </w:rPr>
            </w:pPr>
            <w:r>
              <w:rPr>
                <w:rFonts w:hint="eastAsia"/>
                <w:color w:val="000000"/>
                <w:kern w:val="0"/>
                <w:sz w:val="21"/>
                <w:szCs w:val="21"/>
              </w:rPr>
              <w:t>市应急局</w:t>
            </w:r>
          </w:p>
        </w:tc>
        <w:tc>
          <w:tcPr>
            <w:tcW w:w="395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60" w:lineRule="exact"/>
              <w:ind w:firstLine="0" w:firstLineChars="0"/>
              <w:jc w:val="left"/>
              <w:textAlignment w:val="center"/>
              <w:rPr>
                <w:color w:val="000000"/>
                <w:kern w:val="0"/>
                <w:sz w:val="21"/>
                <w:szCs w:val="21"/>
              </w:rPr>
            </w:pPr>
            <w:r>
              <w:rPr>
                <w:rFonts w:hint="eastAsia"/>
                <w:color w:val="000000"/>
                <w:kern w:val="0"/>
                <w:sz w:val="21"/>
                <w:szCs w:val="21"/>
              </w:rPr>
              <w:t>落实应急指挥部指令，参与技术研判，开展事态分析；协助供电抢修单位开展电力恢复工作。及时向牵头单位汇报工作进展。</w:t>
            </w:r>
          </w:p>
        </w:tc>
      </w:tr>
      <w:tr>
        <w:tblPrEx>
          <w:tblCellMar>
            <w:top w:w="0" w:type="dxa"/>
            <w:left w:w="0" w:type="dxa"/>
            <w:bottom w:w="0" w:type="dxa"/>
            <w:right w:w="0" w:type="dxa"/>
          </w:tblCellMar>
        </w:tblPrEx>
        <w:trPr>
          <w:trHeight w:val="567" w:hRule="exact"/>
          <w:jc w:val="center"/>
        </w:trPr>
        <w:tc>
          <w:tcPr>
            <w:tcW w:w="2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0" w:firstLineChars="0"/>
              <w:jc w:val="center"/>
              <w:textAlignment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6</w:t>
            </w:r>
          </w:p>
        </w:tc>
        <w:tc>
          <w:tcPr>
            <w:tcW w:w="76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0" w:firstLineChars="0"/>
              <w:jc w:val="center"/>
              <w:textAlignment w:val="center"/>
              <w:rPr>
                <w:color w:val="auto"/>
                <w:kern w:val="0"/>
                <w:sz w:val="21"/>
                <w:szCs w:val="21"/>
              </w:rPr>
            </w:pPr>
            <w:r>
              <w:rPr>
                <w:rFonts w:hint="eastAsia"/>
                <w:color w:val="auto"/>
                <w:kern w:val="0"/>
                <w:sz w:val="21"/>
                <w:szCs w:val="21"/>
              </w:rPr>
              <w:t>市林业局</w:t>
            </w:r>
          </w:p>
        </w:tc>
        <w:tc>
          <w:tcPr>
            <w:tcW w:w="395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60" w:lineRule="exact"/>
              <w:ind w:firstLine="0" w:firstLineChars="0"/>
              <w:jc w:val="left"/>
              <w:textAlignment w:val="center"/>
              <w:rPr>
                <w:color w:val="auto"/>
                <w:kern w:val="0"/>
                <w:sz w:val="21"/>
                <w:szCs w:val="21"/>
              </w:rPr>
            </w:pPr>
            <w:r>
              <w:rPr>
                <w:rFonts w:hint="eastAsia"/>
                <w:color w:val="auto"/>
                <w:kern w:val="0"/>
                <w:sz w:val="21"/>
                <w:szCs w:val="21"/>
              </w:rPr>
              <w:t>落实应急指挥部指令，参与技术研判，开展事态分析；协助供电抢修单位开展电力恢复工作。及时向牵头单位汇报工作进展。</w:t>
            </w:r>
          </w:p>
        </w:tc>
      </w:tr>
      <w:tr>
        <w:tblPrEx>
          <w:tblCellMar>
            <w:top w:w="0" w:type="dxa"/>
            <w:left w:w="0" w:type="dxa"/>
            <w:bottom w:w="0" w:type="dxa"/>
            <w:right w:w="0" w:type="dxa"/>
          </w:tblCellMar>
        </w:tblPrEx>
        <w:trPr>
          <w:trHeight w:val="567" w:hRule="exact"/>
          <w:jc w:val="center"/>
        </w:trPr>
        <w:tc>
          <w:tcPr>
            <w:tcW w:w="2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0" w:firstLineChars="0"/>
              <w:jc w:val="center"/>
              <w:textAlignment w:val="center"/>
              <w:rPr>
                <w:rFonts w:hint="eastAsia" w:ascii="Times New Roman" w:hAnsi="Times New Roman" w:eastAsia="仿宋"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7</w:t>
            </w:r>
          </w:p>
        </w:tc>
        <w:tc>
          <w:tcPr>
            <w:tcW w:w="76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0" w:firstLineChars="0"/>
              <w:jc w:val="center"/>
              <w:textAlignment w:val="center"/>
              <w:rPr>
                <w:color w:val="000000"/>
                <w:kern w:val="0"/>
                <w:sz w:val="21"/>
                <w:szCs w:val="21"/>
              </w:rPr>
            </w:pPr>
            <w:r>
              <w:rPr>
                <w:rFonts w:hint="eastAsia"/>
                <w:color w:val="000000"/>
                <w:kern w:val="0"/>
                <w:sz w:val="21"/>
                <w:szCs w:val="21"/>
              </w:rPr>
              <w:t>市气象局</w:t>
            </w:r>
          </w:p>
        </w:tc>
        <w:tc>
          <w:tcPr>
            <w:tcW w:w="395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60" w:lineRule="exact"/>
              <w:ind w:firstLine="0" w:firstLineChars="0"/>
              <w:jc w:val="left"/>
              <w:textAlignment w:val="center"/>
              <w:rPr>
                <w:color w:val="000000"/>
                <w:kern w:val="0"/>
                <w:sz w:val="21"/>
                <w:szCs w:val="21"/>
              </w:rPr>
            </w:pPr>
            <w:r>
              <w:rPr>
                <w:rFonts w:hint="eastAsia"/>
                <w:color w:val="000000"/>
                <w:kern w:val="0"/>
                <w:sz w:val="21"/>
                <w:szCs w:val="21"/>
              </w:rPr>
              <w:t>落实应急指挥部指令，参与技术研判，开展事态分析；协助供电抢修单位开展电力恢复工作。及时向牵头单位汇报工作进展。</w:t>
            </w:r>
          </w:p>
        </w:tc>
      </w:tr>
      <w:tr>
        <w:tblPrEx>
          <w:tblCellMar>
            <w:top w:w="0" w:type="dxa"/>
            <w:left w:w="0" w:type="dxa"/>
            <w:bottom w:w="0" w:type="dxa"/>
            <w:right w:w="0" w:type="dxa"/>
          </w:tblCellMar>
        </w:tblPrEx>
        <w:trPr>
          <w:trHeight w:val="567" w:hRule="exact"/>
          <w:jc w:val="center"/>
        </w:trPr>
        <w:tc>
          <w:tcPr>
            <w:tcW w:w="2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0" w:firstLineChars="0"/>
              <w:jc w:val="center"/>
              <w:textAlignment w:val="center"/>
              <w:rPr>
                <w:rFonts w:hint="eastAsia" w:ascii="Times New Roman" w:hAnsi="Times New Roman" w:eastAsia="仿宋" w:cs="Times New Roman"/>
                <w:color w:val="000000"/>
                <w:kern w:val="0"/>
                <w:sz w:val="21"/>
                <w:szCs w:val="21"/>
                <w:lang w:eastAsia="zh-CN"/>
              </w:rPr>
            </w:pPr>
            <w:r>
              <w:rPr>
                <w:rFonts w:hint="eastAsia" w:ascii="Times New Roman" w:hAnsi="Times New Roman" w:cs="Times New Roman"/>
                <w:color w:val="000000"/>
                <w:kern w:val="0"/>
                <w:sz w:val="21"/>
                <w:szCs w:val="21"/>
                <w:lang w:val="en-US" w:eastAsia="zh-CN"/>
              </w:rPr>
              <w:t>8</w:t>
            </w:r>
          </w:p>
        </w:tc>
        <w:tc>
          <w:tcPr>
            <w:tcW w:w="76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0" w:firstLineChars="0"/>
              <w:jc w:val="center"/>
              <w:textAlignment w:val="center"/>
              <w:rPr>
                <w:color w:val="000000"/>
                <w:kern w:val="0"/>
                <w:sz w:val="21"/>
                <w:szCs w:val="21"/>
              </w:rPr>
            </w:pPr>
            <w:r>
              <w:rPr>
                <w:rFonts w:hint="eastAsia"/>
                <w:color w:val="000000"/>
                <w:kern w:val="0"/>
                <w:sz w:val="21"/>
                <w:szCs w:val="21"/>
                <w:lang w:eastAsia="zh-CN"/>
              </w:rPr>
              <w:t>通化</w:t>
            </w:r>
            <w:r>
              <w:rPr>
                <w:rFonts w:hint="eastAsia"/>
                <w:color w:val="000000"/>
                <w:kern w:val="0"/>
                <w:sz w:val="21"/>
                <w:szCs w:val="21"/>
              </w:rPr>
              <w:t>武警支队</w:t>
            </w:r>
          </w:p>
        </w:tc>
        <w:tc>
          <w:tcPr>
            <w:tcW w:w="395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60" w:lineRule="exact"/>
              <w:ind w:firstLine="0" w:firstLineChars="0"/>
              <w:jc w:val="left"/>
              <w:textAlignment w:val="center"/>
              <w:rPr>
                <w:color w:val="000000"/>
                <w:kern w:val="0"/>
                <w:sz w:val="21"/>
                <w:szCs w:val="21"/>
              </w:rPr>
            </w:pPr>
            <w:r>
              <w:rPr>
                <w:rFonts w:hint="eastAsia"/>
                <w:color w:val="000000"/>
                <w:kern w:val="0"/>
                <w:sz w:val="21"/>
                <w:szCs w:val="21"/>
              </w:rPr>
              <w:t>落实应急指挥部指令，参与技术研判，开展事态分析；协助供电抢修单位开展电力恢复工作。及时向牵头单位汇报工作进展。</w:t>
            </w:r>
          </w:p>
        </w:tc>
      </w:tr>
      <w:tr>
        <w:tblPrEx>
          <w:tblCellMar>
            <w:top w:w="0" w:type="dxa"/>
            <w:left w:w="0" w:type="dxa"/>
            <w:bottom w:w="0" w:type="dxa"/>
            <w:right w:w="0" w:type="dxa"/>
          </w:tblCellMar>
        </w:tblPrEx>
        <w:trPr>
          <w:trHeight w:val="567" w:hRule="exact"/>
          <w:jc w:val="center"/>
        </w:trPr>
        <w:tc>
          <w:tcPr>
            <w:tcW w:w="2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0" w:firstLineChars="0"/>
              <w:jc w:val="center"/>
              <w:textAlignment w:val="center"/>
              <w:rPr>
                <w:rFonts w:hint="eastAsia" w:ascii="Times New Roman" w:hAnsi="Times New Roman" w:eastAsia="仿宋" w:cs="Times New Roman"/>
                <w:color w:val="000000"/>
                <w:kern w:val="0"/>
                <w:sz w:val="21"/>
                <w:szCs w:val="21"/>
                <w:lang w:eastAsia="zh-CN"/>
              </w:rPr>
            </w:pPr>
            <w:r>
              <w:rPr>
                <w:rFonts w:hint="eastAsia" w:ascii="Times New Roman" w:hAnsi="Times New Roman" w:cs="Times New Roman"/>
                <w:color w:val="000000"/>
                <w:kern w:val="0"/>
                <w:sz w:val="21"/>
                <w:szCs w:val="21"/>
                <w:lang w:val="en-US" w:eastAsia="zh-CN"/>
              </w:rPr>
              <w:t>9</w:t>
            </w:r>
          </w:p>
        </w:tc>
        <w:tc>
          <w:tcPr>
            <w:tcW w:w="76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0" w:firstLineChars="0"/>
              <w:jc w:val="center"/>
              <w:textAlignment w:val="center"/>
              <w:rPr>
                <w:color w:val="000000"/>
                <w:kern w:val="0"/>
                <w:sz w:val="21"/>
                <w:szCs w:val="21"/>
              </w:rPr>
            </w:pPr>
            <w:r>
              <w:rPr>
                <w:rFonts w:hint="eastAsia"/>
                <w:color w:val="000000"/>
                <w:kern w:val="0"/>
                <w:sz w:val="21"/>
                <w:szCs w:val="21"/>
                <w:lang w:eastAsia="zh-CN"/>
              </w:rPr>
              <w:t>通化</w:t>
            </w:r>
            <w:r>
              <w:rPr>
                <w:rFonts w:hint="eastAsia"/>
                <w:color w:val="000000"/>
                <w:kern w:val="0"/>
                <w:sz w:val="21"/>
                <w:szCs w:val="21"/>
              </w:rPr>
              <w:t>消防救援支队</w:t>
            </w:r>
          </w:p>
        </w:tc>
        <w:tc>
          <w:tcPr>
            <w:tcW w:w="395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60" w:lineRule="exact"/>
              <w:ind w:firstLine="0" w:firstLineChars="0"/>
              <w:jc w:val="left"/>
              <w:textAlignment w:val="center"/>
              <w:rPr>
                <w:color w:val="000000"/>
                <w:kern w:val="0"/>
                <w:sz w:val="21"/>
                <w:szCs w:val="21"/>
              </w:rPr>
            </w:pPr>
            <w:r>
              <w:rPr>
                <w:rFonts w:hint="eastAsia"/>
                <w:color w:val="000000"/>
                <w:kern w:val="0"/>
                <w:sz w:val="21"/>
                <w:szCs w:val="21"/>
              </w:rPr>
              <w:t>落实应急指挥部指令，参与技术研判，开展事态分析；协助供电抢修单位开展电力恢复工作。及时向牵头单位汇报工作进展。</w:t>
            </w:r>
          </w:p>
        </w:tc>
      </w:tr>
      <w:tr>
        <w:tblPrEx>
          <w:tblCellMar>
            <w:top w:w="0" w:type="dxa"/>
            <w:left w:w="0" w:type="dxa"/>
            <w:bottom w:w="0" w:type="dxa"/>
            <w:right w:w="0" w:type="dxa"/>
          </w:tblCellMar>
        </w:tblPrEx>
        <w:trPr>
          <w:trHeight w:val="567" w:hRule="exact"/>
          <w:jc w:val="center"/>
        </w:trPr>
        <w:tc>
          <w:tcPr>
            <w:tcW w:w="5000"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0" w:firstLineChars="0"/>
              <w:jc w:val="center"/>
              <w:textAlignment w:val="center"/>
              <w:rPr>
                <w:color w:val="000000"/>
                <w:kern w:val="0"/>
                <w:sz w:val="21"/>
                <w:szCs w:val="21"/>
              </w:rPr>
            </w:pPr>
            <w:r>
              <w:rPr>
                <w:rFonts w:hint="eastAsia"/>
                <w:b/>
                <w:bCs/>
                <w:color w:val="000000"/>
                <w:kern w:val="0"/>
                <w:sz w:val="21"/>
                <w:szCs w:val="21"/>
              </w:rPr>
              <w:t>舆论引导组</w:t>
            </w:r>
          </w:p>
        </w:tc>
      </w:tr>
      <w:tr>
        <w:tblPrEx>
          <w:tblCellMar>
            <w:top w:w="0" w:type="dxa"/>
            <w:left w:w="0" w:type="dxa"/>
            <w:bottom w:w="0" w:type="dxa"/>
            <w:right w:w="0" w:type="dxa"/>
          </w:tblCellMar>
        </w:tblPrEx>
        <w:trPr>
          <w:trHeight w:val="567" w:hRule="exact"/>
          <w:jc w:val="center"/>
        </w:trPr>
        <w:tc>
          <w:tcPr>
            <w:tcW w:w="5000"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60" w:lineRule="exact"/>
              <w:ind w:firstLine="0" w:firstLineChars="0"/>
              <w:jc w:val="left"/>
              <w:textAlignment w:val="center"/>
              <w:rPr>
                <w:color w:val="000000"/>
                <w:kern w:val="0"/>
                <w:sz w:val="21"/>
                <w:szCs w:val="21"/>
              </w:rPr>
            </w:pPr>
            <w:r>
              <w:rPr>
                <w:rFonts w:hint="eastAsia"/>
                <w:color w:val="000000"/>
                <w:kern w:val="0"/>
                <w:sz w:val="21"/>
                <w:szCs w:val="21"/>
              </w:rPr>
              <w:t>职责：由市委宣传部牵头，组织开展事件进展、应急工作情况等权威信息发布，加强新闻宣传报道；指导涉事单位、企业及时澄清不实信息，回应社会关切问题。</w:t>
            </w:r>
          </w:p>
        </w:tc>
      </w:tr>
      <w:tr>
        <w:tblPrEx>
          <w:tblCellMar>
            <w:top w:w="0" w:type="dxa"/>
            <w:left w:w="0" w:type="dxa"/>
            <w:bottom w:w="0" w:type="dxa"/>
            <w:right w:w="0" w:type="dxa"/>
          </w:tblCellMar>
        </w:tblPrEx>
        <w:trPr>
          <w:trHeight w:val="567" w:hRule="exact"/>
          <w:jc w:val="center"/>
        </w:trPr>
        <w:tc>
          <w:tcPr>
            <w:tcW w:w="2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0" w:firstLineChars="0"/>
              <w:jc w:val="center"/>
              <w:textAlignment w:val="center"/>
              <w:rPr>
                <w:color w:val="000000"/>
                <w:sz w:val="21"/>
                <w:szCs w:val="21"/>
              </w:rPr>
            </w:pPr>
            <w:r>
              <w:rPr>
                <w:rFonts w:hint="eastAsia"/>
                <w:color w:val="000000"/>
                <w:kern w:val="0"/>
                <w:sz w:val="21"/>
                <w:szCs w:val="21"/>
              </w:rPr>
              <w:t>序号</w:t>
            </w:r>
          </w:p>
        </w:tc>
        <w:tc>
          <w:tcPr>
            <w:tcW w:w="76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0" w:firstLineChars="0"/>
              <w:jc w:val="center"/>
              <w:textAlignment w:val="center"/>
              <w:rPr>
                <w:color w:val="000000"/>
                <w:sz w:val="21"/>
                <w:szCs w:val="21"/>
              </w:rPr>
            </w:pPr>
            <w:r>
              <w:rPr>
                <w:rFonts w:hint="eastAsia"/>
                <w:color w:val="000000"/>
                <w:kern w:val="0"/>
                <w:sz w:val="21"/>
                <w:szCs w:val="21"/>
              </w:rPr>
              <w:t>部门</w:t>
            </w:r>
          </w:p>
        </w:tc>
        <w:tc>
          <w:tcPr>
            <w:tcW w:w="395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0" w:firstLineChars="0"/>
              <w:jc w:val="center"/>
              <w:textAlignment w:val="center"/>
              <w:rPr>
                <w:color w:val="000000"/>
                <w:sz w:val="21"/>
                <w:szCs w:val="21"/>
              </w:rPr>
            </w:pPr>
            <w:r>
              <w:rPr>
                <w:rFonts w:hint="eastAsia"/>
                <w:color w:val="000000"/>
                <w:kern w:val="0"/>
                <w:sz w:val="21"/>
                <w:szCs w:val="21"/>
              </w:rPr>
              <w:t>具体工作流程</w:t>
            </w:r>
          </w:p>
        </w:tc>
      </w:tr>
      <w:tr>
        <w:tblPrEx>
          <w:tblCellMar>
            <w:top w:w="0" w:type="dxa"/>
            <w:left w:w="0" w:type="dxa"/>
            <w:bottom w:w="0" w:type="dxa"/>
            <w:right w:w="0" w:type="dxa"/>
          </w:tblCellMar>
        </w:tblPrEx>
        <w:trPr>
          <w:trHeight w:val="567" w:hRule="exact"/>
          <w:jc w:val="center"/>
        </w:trPr>
        <w:tc>
          <w:tcPr>
            <w:tcW w:w="2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0" w:firstLineChars="0"/>
              <w:jc w:val="center"/>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1</w:t>
            </w:r>
          </w:p>
        </w:tc>
        <w:tc>
          <w:tcPr>
            <w:tcW w:w="76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0" w:firstLineChars="0"/>
              <w:jc w:val="center"/>
              <w:textAlignment w:val="center"/>
              <w:rPr>
                <w:color w:val="000000"/>
                <w:sz w:val="21"/>
                <w:szCs w:val="21"/>
              </w:rPr>
            </w:pPr>
            <w:r>
              <w:rPr>
                <w:rFonts w:hint="eastAsia"/>
                <w:color w:val="000000"/>
                <w:kern w:val="0"/>
                <w:sz w:val="21"/>
                <w:szCs w:val="21"/>
              </w:rPr>
              <w:t>市委宣传部</w:t>
            </w:r>
          </w:p>
        </w:tc>
        <w:tc>
          <w:tcPr>
            <w:tcW w:w="395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0" w:firstLineChars="0"/>
              <w:jc w:val="left"/>
              <w:textAlignment w:val="center"/>
              <w:rPr>
                <w:color w:val="000000"/>
                <w:sz w:val="21"/>
                <w:szCs w:val="21"/>
              </w:rPr>
            </w:pPr>
            <w:r>
              <w:rPr>
                <w:rFonts w:hint="eastAsia"/>
                <w:color w:val="000000"/>
                <w:kern w:val="0"/>
                <w:sz w:val="21"/>
                <w:szCs w:val="21"/>
              </w:rPr>
              <w:t>组织政府新闻发布会，开展事件进展、应急工作情况等权威信息发布，加强新闻宣传报道；</w:t>
            </w:r>
            <w:r>
              <w:rPr>
                <w:rFonts w:hint="eastAsia"/>
                <w:kern w:val="0"/>
                <w:sz w:val="21"/>
                <w:szCs w:val="21"/>
              </w:rPr>
              <w:t>正确引导舆论；负责及时澄清不实信息，回应社会关切。</w:t>
            </w:r>
          </w:p>
        </w:tc>
      </w:tr>
      <w:tr>
        <w:tblPrEx>
          <w:tblCellMar>
            <w:top w:w="0" w:type="dxa"/>
            <w:left w:w="0" w:type="dxa"/>
            <w:bottom w:w="0" w:type="dxa"/>
            <w:right w:w="0" w:type="dxa"/>
          </w:tblCellMar>
        </w:tblPrEx>
        <w:trPr>
          <w:trHeight w:val="567" w:hRule="exact"/>
          <w:jc w:val="center"/>
        </w:trPr>
        <w:tc>
          <w:tcPr>
            <w:tcW w:w="2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0" w:firstLineChars="0"/>
              <w:jc w:val="center"/>
              <w:textAlignment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w:t>
            </w:r>
          </w:p>
        </w:tc>
        <w:tc>
          <w:tcPr>
            <w:tcW w:w="76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0" w:firstLineChars="0"/>
              <w:jc w:val="center"/>
              <w:textAlignment w:val="center"/>
              <w:rPr>
                <w:color w:val="000000"/>
                <w:kern w:val="0"/>
                <w:sz w:val="21"/>
                <w:szCs w:val="21"/>
              </w:rPr>
            </w:pPr>
            <w:r>
              <w:rPr>
                <w:rFonts w:hint="eastAsia"/>
                <w:color w:val="000000"/>
                <w:kern w:val="0"/>
                <w:sz w:val="21"/>
                <w:szCs w:val="21"/>
              </w:rPr>
              <w:t>市委网信办</w:t>
            </w:r>
          </w:p>
        </w:tc>
        <w:tc>
          <w:tcPr>
            <w:tcW w:w="395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0" w:firstLineChars="0"/>
              <w:jc w:val="left"/>
              <w:textAlignment w:val="center"/>
              <w:rPr>
                <w:color w:val="000000"/>
                <w:kern w:val="0"/>
                <w:sz w:val="21"/>
                <w:szCs w:val="21"/>
              </w:rPr>
            </w:pPr>
            <w:r>
              <w:rPr>
                <w:rFonts w:hint="eastAsia"/>
                <w:color w:val="000000"/>
                <w:kern w:val="0"/>
                <w:sz w:val="21"/>
                <w:szCs w:val="21"/>
              </w:rPr>
              <w:t>落实应急指挥部指令，加强</w:t>
            </w:r>
            <w:r>
              <w:rPr>
                <w:rFonts w:hint="eastAsia"/>
                <w:color w:val="000000"/>
                <w:kern w:val="0"/>
                <w:sz w:val="21"/>
                <w:szCs w:val="21"/>
                <w:lang w:eastAsia="zh-CN"/>
              </w:rPr>
              <w:t>属地媒体和自媒体</w:t>
            </w:r>
            <w:r>
              <w:rPr>
                <w:rFonts w:hint="eastAsia"/>
                <w:color w:val="000000"/>
                <w:kern w:val="0"/>
                <w:sz w:val="21"/>
                <w:szCs w:val="21"/>
              </w:rPr>
              <w:t>的管理，正确引导舆论，及时向牵头单位汇报工作进展。</w:t>
            </w:r>
          </w:p>
        </w:tc>
      </w:tr>
      <w:tr>
        <w:tblPrEx>
          <w:tblCellMar>
            <w:top w:w="0" w:type="dxa"/>
            <w:left w:w="0" w:type="dxa"/>
            <w:bottom w:w="0" w:type="dxa"/>
            <w:right w:w="0" w:type="dxa"/>
          </w:tblCellMar>
        </w:tblPrEx>
        <w:trPr>
          <w:trHeight w:val="567" w:hRule="exact"/>
          <w:jc w:val="center"/>
        </w:trPr>
        <w:tc>
          <w:tcPr>
            <w:tcW w:w="2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0" w:firstLineChars="0"/>
              <w:jc w:val="center"/>
              <w:textAlignment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w:t>
            </w:r>
          </w:p>
        </w:tc>
        <w:tc>
          <w:tcPr>
            <w:tcW w:w="76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0" w:firstLineChars="0"/>
              <w:jc w:val="center"/>
              <w:textAlignment w:val="center"/>
              <w:rPr>
                <w:color w:val="000000"/>
                <w:kern w:val="0"/>
                <w:sz w:val="21"/>
                <w:szCs w:val="21"/>
              </w:rPr>
            </w:pPr>
            <w:r>
              <w:rPr>
                <w:rFonts w:hint="eastAsia"/>
                <w:color w:val="auto"/>
                <w:kern w:val="0"/>
                <w:sz w:val="21"/>
                <w:szCs w:val="21"/>
              </w:rPr>
              <w:t>市发改委</w:t>
            </w:r>
          </w:p>
        </w:tc>
        <w:tc>
          <w:tcPr>
            <w:tcW w:w="395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0" w:firstLineChars="0"/>
              <w:jc w:val="left"/>
              <w:textAlignment w:val="center"/>
              <w:rPr>
                <w:color w:val="000000"/>
                <w:kern w:val="0"/>
                <w:sz w:val="21"/>
                <w:szCs w:val="21"/>
              </w:rPr>
            </w:pPr>
            <w:r>
              <w:rPr>
                <w:rFonts w:hint="eastAsia"/>
                <w:color w:val="000000"/>
                <w:kern w:val="0"/>
                <w:sz w:val="21"/>
                <w:szCs w:val="21"/>
              </w:rPr>
              <w:t>落实应急指挥部指令，加强媒体、电信和互联网的管理，正确引导舆论，及时向牵头单位汇报工作进展。</w:t>
            </w:r>
          </w:p>
        </w:tc>
      </w:tr>
      <w:tr>
        <w:tblPrEx>
          <w:tblCellMar>
            <w:top w:w="0" w:type="dxa"/>
            <w:left w:w="0" w:type="dxa"/>
            <w:bottom w:w="0" w:type="dxa"/>
            <w:right w:w="0" w:type="dxa"/>
          </w:tblCellMar>
        </w:tblPrEx>
        <w:trPr>
          <w:trHeight w:val="567" w:hRule="exact"/>
          <w:jc w:val="center"/>
        </w:trPr>
        <w:tc>
          <w:tcPr>
            <w:tcW w:w="2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0" w:firstLineChars="0"/>
              <w:jc w:val="center"/>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4</w:t>
            </w:r>
          </w:p>
        </w:tc>
        <w:tc>
          <w:tcPr>
            <w:tcW w:w="76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0" w:firstLineChars="0"/>
              <w:jc w:val="center"/>
              <w:textAlignment w:val="center"/>
              <w:rPr>
                <w:color w:val="000000"/>
                <w:kern w:val="0"/>
                <w:sz w:val="21"/>
                <w:szCs w:val="21"/>
              </w:rPr>
            </w:pPr>
            <w:r>
              <w:rPr>
                <w:rFonts w:hint="eastAsia"/>
                <w:color w:val="000000"/>
                <w:kern w:val="0"/>
                <w:sz w:val="21"/>
                <w:szCs w:val="21"/>
              </w:rPr>
              <w:t>市公安局</w:t>
            </w:r>
          </w:p>
        </w:tc>
        <w:tc>
          <w:tcPr>
            <w:tcW w:w="395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0" w:firstLineChars="0"/>
              <w:jc w:val="left"/>
              <w:textAlignment w:val="center"/>
              <w:rPr>
                <w:color w:val="000000"/>
                <w:kern w:val="0"/>
                <w:sz w:val="21"/>
                <w:szCs w:val="21"/>
              </w:rPr>
            </w:pPr>
            <w:r>
              <w:rPr>
                <w:rFonts w:hint="eastAsia"/>
                <w:color w:val="000000"/>
                <w:kern w:val="0"/>
                <w:sz w:val="21"/>
                <w:szCs w:val="21"/>
              </w:rPr>
              <w:t>落实应急指挥部指令，加强媒体、电信和互联网的管理，正确引导舆论，及时向牵头单位汇报工作进展。</w:t>
            </w:r>
          </w:p>
        </w:tc>
      </w:tr>
      <w:tr>
        <w:tblPrEx>
          <w:tblCellMar>
            <w:top w:w="0" w:type="dxa"/>
            <w:left w:w="0" w:type="dxa"/>
            <w:bottom w:w="0" w:type="dxa"/>
            <w:right w:w="0" w:type="dxa"/>
          </w:tblCellMar>
        </w:tblPrEx>
        <w:trPr>
          <w:trHeight w:val="567" w:hRule="exact"/>
          <w:jc w:val="center"/>
        </w:trPr>
        <w:tc>
          <w:tcPr>
            <w:tcW w:w="2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0" w:firstLineChars="0"/>
              <w:jc w:val="center"/>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5</w:t>
            </w:r>
          </w:p>
        </w:tc>
        <w:tc>
          <w:tcPr>
            <w:tcW w:w="76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0" w:firstLineChars="0"/>
              <w:jc w:val="center"/>
              <w:textAlignment w:val="center"/>
              <w:rPr>
                <w:color w:val="000000"/>
                <w:kern w:val="0"/>
                <w:sz w:val="21"/>
                <w:szCs w:val="21"/>
              </w:rPr>
            </w:pPr>
            <w:r>
              <w:rPr>
                <w:rFonts w:hint="eastAsia"/>
                <w:color w:val="000000"/>
                <w:kern w:val="0"/>
                <w:sz w:val="21"/>
                <w:szCs w:val="21"/>
              </w:rPr>
              <w:t>市应急局</w:t>
            </w:r>
          </w:p>
        </w:tc>
        <w:tc>
          <w:tcPr>
            <w:tcW w:w="395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0" w:firstLineChars="0"/>
              <w:jc w:val="left"/>
              <w:textAlignment w:val="center"/>
              <w:rPr>
                <w:color w:val="000000"/>
                <w:kern w:val="0"/>
                <w:sz w:val="21"/>
                <w:szCs w:val="21"/>
              </w:rPr>
            </w:pPr>
            <w:r>
              <w:rPr>
                <w:rFonts w:hint="eastAsia"/>
                <w:color w:val="000000"/>
                <w:kern w:val="0"/>
                <w:sz w:val="21"/>
                <w:szCs w:val="21"/>
              </w:rPr>
              <w:t>落实应急指挥部指令，加强媒体、电信和互联网的管理，正确引导舆论，及时向牵头单位汇报工作进展。</w:t>
            </w:r>
          </w:p>
        </w:tc>
      </w:tr>
      <w:tr>
        <w:tblPrEx>
          <w:tblCellMar>
            <w:top w:w="0" w:type="dxa"/>
            <w:left w:w="0" w:type="dxa"/>
            <w:bottom w:w="0" w:type="dxa"/>
            <w:right w:w="0" w:type="dxa"/>
          </w:tblCellMar>
        </w:tblPrEx>
        <w:trPr>
          <w:trHeight w:val="567" w:hRule="exact"/>
          <w:jc w:val="center"/>
        </w:trPr>
        <w:tc>
          <w:tcPr>
            <w:tcW w:w="2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0" w:firstLineChars="0"/>
              <w:jc w:val="center"/>
              <w:textAlignment w:val="center"/>
              <w:rPr>
                <w:rFonts w:hint="eastAsia" w:ascii="Times New Roman" w:hAnsi="Times New Roman" w:eastAsia="仿宋" w:cs="Times New Roman"/>
                <w:color w:val="000000"/>
                <w:sz w:val="21"/>
                <w:szCs w:val="21"/>
                <w:lang w:val="en-US" w:eastAsia="zh-CN"/>
              </w:rPr>
            </w:pPr>
            <w:r>
              <w:rPr>
                <w:rFonts w:hint="eastAsia" w:ascii="Times New Roman" w:hAnsi="Times New Roman" w:cs="Times New Roman"/>
                <w:color w:val="000000"/>
                <w:sz w:val="21"/>
                <w:szCs w:val="21"/>
                <w:lang w:val="en-US" w:eastAsia="zh-CN"/>
              </w:rPr>
              <w:t>6</w:t>
            </w:r>
          </w:p>
        </w:tc>
        <w:tc>
          <w:tcPr>
            <w:tcW w:w="76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0" w:firstLineChars="0"/>
              <w:jc w:val="center"/>
              <w:textAlignment w:val="center"/>
              <w:rPr>
                <w:rFonts w:hint="eastAsia" w:eastAsia="仿宋"/>
                <w:color w:val="000000"/>
                <w:kern w:val="0"/>
                <w:sz w:val="21"/>
                <w:szCs w:val="21"/>
                <w:lang w:eastAsia="zh-CN"/>
              </w:rPr>
            </w:pPr>
            <w:r>
              <w:rPr>
                <w:rFonts w:hint="eastAsia"/>
                <w:color w:val="000000"/>
                <w:kern w:val="0"/>
                <w:sz w:val="21"/>
                <w:szCs w:val="21"/>
                <w:lang w:eastAsia="zh-CN"/>
              </w:rPr>
              <w:t>市工信局</w:t>
            </w:r>
          </w:p>
        </w:tc>
        <w:tc>
          <w:tcPr>
            <w:tcW w:w="395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0" w:firstLineChars="0"/>
              <w:jc w:val="left"/>
              <w:textAlignment w:val="center"/>
              <w:rPr>
                <w:rFonts w:hint="eastAsia"/>
                <w:color w:val="000000"/>
                <w:kern w:val="0"/>
                <w:sz w:val="21"/>
                <w:szCs w:val="21"/>
              </w:rPr>
            </w:pPr>
            <w:r>
              <w:rPr>
                <w:rFonts w:hint="eastAsia"/>
                <w:color w:val="000000"/>
                <w:kern w:val="0"/>
                <w:sz w:val="21"/>
                <w:szCs w:val="21"/>
              </w:rPr>
              <w:t>落实应急指挥部指令，加强媒体、电信和互联网的管理，正确引导舆论，及时向牵头单位汇报工作进展。</w:t>
            </w:r>
          </w:p>
        </w:tc>
      </w:tr>
      <w:tr>
        <w:tblPrEx>
          <w:tblCellMar>
            <w:top w:w="0" w:type="dxa"/>
            <w:left w:w="0" w:type="dxa"/>
            <w:bottom w:w="0" w:type="dxa"/>
            <w:right w:w="0" w:type="dxa"/>
          </w:tblCellMar>
        </w:tblPrEx>
        <w:trPr>
          <w:trHeight w:val="567" w:hRule="exact"/>
          <w:jc w:val="center"/>
        </w:trPr>
        <w:tc>
          <w:tcPr>
            <w:tcW w:w="5000"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0" w:firstLineChars="0"/>
              <w:jc w:val="center"/>
              <w:textAlignment w:val="center"/>
              <w:rPr>
                <w:color w:val="000000"/>
                <w:kern w:val="0"/>
                <w:sz w:val="21"/>
                <w:szCs w:val="21"/>
              </w:rPr>
            </w:pPr>
            <w:r>
              <w:rPr>
                <w:rFonts w:hint="eastAsia"/>
                <w:b/>
                <w:bCs/>
                <w:color w:val="000000"/>
                <w:kern w:val="0"/>
                <w:sz w:val="21"/>
                <w:szCs w:val="21"/>
              </w:rPr>
              <w:t>应急保障组</w:t>
            </w:r>
          </w:p>
        </w:tc>
      </w:tr>
      <w:tr>
        <w:tblPrEx>
          <w:tblCellMar>
            <w:top w:w="0" w:type="dxa"/>
            <w:left w:w="0" w:type="dxa"/>
            <w:bottom w:w="0" w:type="dxa"/>
            <w:right w:w="0" w:type="dxa"/>
          </w:tblCellMar>
        </w:tblPrEx>
        <w:trPr>
          <w:trHeight w:val="1016" w:hRule="exact"/>
          <w:jc w:val="center"/>
        </w:trPr>
        <w:tc>
          <w:tcPr>
            <w:tcW w:w="5000"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0" w:firstLineChars="0"/>
              <w:jc w:val="left"/>
              <w:textAlignment w:val="center"/>
              <w:rPr>
                <w:color w:val="000000"/>
                <w:kern w:val="0"/>
                <w:sz w:val="21"/>
                <w:szCs w:val="21"/>
              </w:rPr>
            </w:pPr>
            <w:r>
              <w:rPr>
                <w:rFonts w:hint="eastAsia"/>
                <w:color w:val="000000"/>
                <w:kern w:val="0"/>
                <w:sz w:val="21"/>
                <w:szCs w:val="21"/>
              </w:rPr>
              <w:t>职责：由市应急局牵头，负责统筹应急救援装备物资及生产生活物资调配，督促落实恢复电力抢修方案，为应急工作提供技术咨询和建议，组织开展事件处置评估，协调保障基础设施及交通设施运行。</w:t>
            </w:r>
          </w:p>
        </w:tc>
      </w:tr>
      <w:tr>
        <w:tblPrEx>
          <w:tblCellMar>
            <w:top w:w="0" w:type="dxa"/>
            <w:left w:w="0" w:type="dxa"/>
            <w:bottom w:w="0" w:type="dxa"/>
            <w:right w:w="0" w:type="dxa"/>
          </w:tblCellMar>
        </w:tblPrEx>
        <w:trPr>
          <w:trHeight w:val="567" w:hRule="exact"/>
          <w:jc w:val="center"/>
        </w:trPr>
        <w:tc>
          <w:tcPr>
            <w:tcW w:w="2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0" w:firstLineChars="0"/>
              <w:jc w:val="center"/>
              <w:textAlignment w:val="center"/>
              <w:rPr>
                <w:color w:val="000000"/>
                <w:sz w:val="21"/>
                <w:szCs w:val="21"/>
              </w:rPr>
            </w:pPr>
            <w:r>
              <w:rPr>
                <w:rFonts w:hint="eastAsia"/>
                <w:color w:val="000000"/>
                <w:kern w:val="0"/>
                <w:sz w:val="21"/>
                <w:szCs w:val="21"/>
              </w:rPr>
              <w:t>序号</w:t>
            </w:r>
          </w:p>
        </w:tc>
        <w:tc>
          <w:tcPr>
            <w:tcW w:w="7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0" w:firstLineChars="0"/>
              <w:jc w:val="center"/>
              <w:textAlignment w:val="center"/>
              <w:rPr>
                <w:color w:val="000000"/>
                <w:sz w:val="21"/>
                <w:szCs w:val="21"/>
              </w:rPr>
            </w:pPr>
            <w:r>
              <w:rPr>
                <w:rFonts w:hint="eastAsia"/>
                <w:color w:val="000000"/>
                <w:kern w:val="0"/>
                <w:sz w:val="21"/>
                <w:szCs w:val="21"/>
              </w:rPr>
              <w:t>部门</w:t>
            </w:r>
          </w:p>
        </w:tc>
        <w:tc>
          <w:tcPr>
            <w:tcW w:w="395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0" w:firstLineChars="0"/>
              <w:jc w:val="center"/>
              <w:textAlignment w:val="center"/>
              <w:rPr>
                <w:color w:val="000000"/>
                <w:sz w:val="21"/>
                <w:szCs w:val="21"/>
              </w:rPr>
            </w:pPr>
            <w:r>
              <w:rPr>
                <w:rFonts w:hint="eastAsia"/>
                <w:color w:val="000000"/>
                <w:kern w:val="0"/>
                <w:sz w:val="21"/>
                <w:szCs w:val="21"/>
              </w:rPr>
              <w:t>具体工作流程</w:t>
            </w:r>
          </w:p>
        </w:tc>
      </w:tr>
      <w:tr>
        <w:tblPrEx>
          <w:tblCellMar>
            <w:top w:w="0" w:type="dxa"/>
            <w:left w:w="0" w:type="dxa"/>
            <w:bottom w:w="0" w:type="dxa"/>
            <w:right w:w="0" w:type="dxa"/>
          </w:tblCellMar>
        </w:tblPrEx>
        <w:trPr>
          <w:trHeight w:val="1138" w:hRule="exact"/>
          <w:jc w:val="center"/>
        </w:trPr>
        <w:tc>
          <w:tcPr>
            <w:tcW w:w="2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0" w:firstLineChars="0"/>
              <w:jc w:val="center"/>
              <w:textAlignment w:val="center"/>
              <w:rPr>
                <w:rFonts w:hint="eastAsia"/>
                <w:color w:val="000000"/>
                <w:kern w:val="0"/>
                <w:sz w:val="21"/>
                <w:szCs w:val="21"/>
              </w:rPr>
            </w:pPr>
            <w:r>
              <w:rPr>
                <w:rFonts w:hint="eastAsia" w:ascii="Times New Roman" w:hAnsi="Times New Roman" w:cs="Times New Roman"/>
                <w:kern w:val="0"/>
                <w:sz w:val="21"/>
                <w:szCs w:val="21"/>
              </w:rPr>
              <w:t>1</w:t>
            </w:r>
          </w:p>
        </w:tc>
        <w:tc>
          <w:tcPr>
            <w:tcW w:w="7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0" w:firstLineChars="0"/>
              <w:jc w:val="center"/>
              <w:textAlignment w:val="center"/>
              <w:rPr>
                <w:rFonts w:hint="eastAsia"/>
                <w:color w:val="000000"/>
                <w:kern w:val="0"/>
                <w:sz w:val="21"/>
                <w:szCs w:val="21"/>
              </w:rPr>
            </w:pPr>
            <w:r>
              <w:rPr>
                <w:rFonts w:hint="eastAsia"/>
                <w:color w:val="000000"/>
                <w:kern w:val="0"/>
                <w:sz w:val="21"/>
                <w:szCs w:val="21"/>
              </w:rPr>
              <w:t>市应急局</w:t>
            </w:r>
          </w:p>
        </w:tc>
        <w:tc>
          <w:tcPr>
            <w:tcW w:w="395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0" w:firstLineChars="0"/>
              <w:jc w:val="left"/>
              <w:textAlignment w:val="center"/>
              <w:rPr>
                <w:rFonts w:hint="eastAsia"/>
                <w:color w:val="000000"/>
                <w:kern w:val="0"/>
                <w:sz w:val="21"/>
                <w:szCs w:val="21"/>
              </w:rPr>
            </w:pPr>
            <w:r>
              <w:rPr>
                <w:rFonts w:hint="eastAsia"/>
                <w:color w:val="000000"/>
                <w:kern w:val="0"/>
                <w:sz w:val="21"/>
                <w:szCs w:val="21"/>
              </w:rPr>
              <w:t>统筹应急救援装备物资及生产生活物资的紧急生产、储备调拨和紧急配送工作，监督恢复电力抢修方案落实情况，为应急工作提供技术咨询和建议，组织开展事件处置评估，督促恢复基础设施及交通设施运行，深入事故现场开展应急工作处置指导。</w:t>
            </w:r>
          </w:p>
        </w:tc>
      </w:tr>
      <w:tr>
        <w:tblPrEx>
          <w:tblCellMar>
            <w:top w:w="0" w:type="dxa"/>
            <w:left w:w="0" w:type="dxa"/>
            <w:bottom w:w="0" w:type="dxa"/>
            <w:right w:w="0" w:type="dxa"/>
          </w:tblCellMar>
        </w:tblPrEx>
        <w:trPr>
          <w:trHeight w:val="567" w:hRule="exact"/>
          <w:jc w:val="center"/>
        </w:trPr>
        <w:tc>
          <w:tcPr>
            <w:tcW w:w="28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0" w:firstLineChars="0"/>
              <w:jc w:val="center"/>
              <w:textAlignment w:val="center"/>
              <w:rPr>
                <w:rFonts w:hint="eastAsia" w:ascii="Times New Roman" w:hAnsi="Times New Roman" w:eastAsia="仿宋" w:cs="Times New Roman"/>
                <w:color w:val="000000"/>
                <w:sz w:val="21"/>
                <w:szCs w:val="21"/>
                <w:lang w:eastAsia="zh-CN"/>
              </w:rPr>
            </w:pPr>
            <w:r>
              <w:rPr>
                <w:rFonts w:hint="eastAsia" w:ascii="Times New Roman" w:hAnsi="Times New Roman" w:cs="Times New Roman"/>
                <w:color w:val="000000"/>
                <w:kern w:val="0"/>
                <w:sz w:val="21"/>
                <w:szCs w:val="21"/>
                <w:lang w:val="en-US" w:eastAsia="zh-CN"/>
              </w:rPr>
              <w:t>2</w:t>
            </w:r>
          </w:p>
        </w:tc>
        <w:tc>
          <w:tcPr>
            <w:tcW w:w="7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0" w:firstLineChars="0"/>
              <w:jc w:val="center"/>
              <w:textAlignment w:val="center"/>
              <w:rPr>
                <w:color w:val="000000"/>
                <w:sz w:val="21"/>
                <w:szCs w:val="21"/>
              </w:rPr>
            </w:pPr>
            <w:r>
              <w:rPr>
                <w:rFonts w:hint="eastAsia"/>
                <w:color w:val="000000"/>
                <w:sz w:val="21"/>
                <w:szCs w:val="21"/>
              </w:rPr>
              <w:t>国网</w:t>
            </w:r>
            <w:r>
              <w:rPr>
                <w:rFonts w:hint="eastAsia"/>
                <w:color w:val="000000"/>
                <w:sz w:val="21"/>
                <w:szCs w:val="21"/>
                <w:lang w:eastAsia="zh-CN"/>
              </w:rPr>
              <w:t>通化</w:t>
            </w:r>
            <w:r>
              <w:rPr>
                <w:rFonts w:hint="eastAsia"/>
                <w:color w:val="000000"/>
                <w:sz w:val="21"/>
                <w:szCs w:val="21"/>
              </w:rPr>
              <w:t>供电公司</w:t>
            </w:r>
          </w:p>
        </w:tc>
        <w:tc>
          <w:tcPr>
            <w:tcW w:w="39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ind w:firstLine="0" w:firstLineChars="0"/>
              <w:jc w:val="left"/>
              <w:textAlignment w:val="center"/>
              <w:rPr>
                <w:color w:val="000000"/>
                <w:kern w:val="0"/>
                <w:sz w:val="21"/>
                <w:szCs w:val="21"/>
              </w:rPr>
            </w:pPr>
            <w:r>
              <w:rPr>
                <w:rFonts w:hint="eastAsia"/>
                <w:color w:val="000000"/>
                <w:kern w:val="0"/>
                <w:sz w:val="21"/>
                <w:szCs w:val="21"/>
              </w:rPr>
              <w:t>落实应急指挥部指令，及时对事件受灾情况进行核实，制定电力抢修方案，及时向牵头单位汇报工作进展。</w:t>
            </w:r>
          </w:p>
        </w:tc>
      </w:tr>
      <w:tr>
        <w:tblPrEx>
          <w:tblCellMar>
            <w:top w:w="0" w:type="dxa"/>
            <w:left w:w="0" w:type="dxa"/>
            <w:bottom w:w="0" w:type="dxa"/>
            <w:right w:w="0" w:type="dxa"/>
          </w:tblCellMar>
        </w:tblPrEx>
        <w:trPr>
          <w:trHeight w:val="567" w:hRule="exact"/>
          <w:jc w:val="center"/>
        </w:trPr>
        <w:tc>
          <w:tcPr>
            <w:tcW w:w="28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0" w:firstLineChars="0"/>
              <w:jc w:val="center"/>
              <w:textAlignment w:val="center"/>
              <w:rPr>
                <w:rFonts w:hint="eastAsia" w:ascii="Times New Roman" w:hAnsi="Times New Roman" w:eastAsia="仿宋" w:cs="Times New Roman"/>
                <w:color w:val="000000"/>
                <w:kern w:val="0"/>
                <w:sz w:val="21"/>
                <w:szCs w:val="21"/>
                <w:lang w:eastAsia="zh-CN"/>
              </w:rPr>
            </w:pPr>
            <w:r>
              <w:rPr>
                <w:rFonts w:hint="eastAsia" w:ascii="Times New Roman" w:hAnsi="Times New Roman" w:cs="Times New Roman"/>
                <w:color w:val="000000"/>
                <w:kern w:val="0"/>
                <w:sz w:val="21"/>
                <w:szCs w:val="21"/>
                <w:lang w:val="en-US" w:eastAsia="zh-CN"/>
              </w:rPr>
              <w:t>3</w:t>
            </w:r>
          </w:p>
        </w:tc>
        <w:tc>
          <w:tcPr>
            <w:tcW w:w="7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ind w:firstLine="0" w:firstLineChars="0"/>
              <w:jc w:val="center"/>
              <w:textAlignment w:val="center"/>
              <w:rPr>
                <w:color w:val="000000"/>
                <w:kern w:val="0"/>
                <w:sz w:val="21"/>
                <w:szCs w:val="21"/>
              </w:rPr>
            </w:pPr>
            <w:r>
              <w:rPr>
                <w:rFonts w:hint="eastAsia"/>
                <w:color w:val="000000"/>
                <w:kern w:val="0"/>
                <w:sz w:val="21"/>
                <w:szCs w:val="21"/>
              </w:rPr>
              <w:t>市发改委</w:t>
            </w:r>
          </w:p>
        </w:tc>
        <w:tc>
          <w:tcPr>
            <w:tcW w:w="39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ind w:firstLine="0" w:firstLineChars="0"/>
              <w:jc w:val="left"/>
              <w:textAlignment w:val="center"/>
              <w:rPr>
                <w:color w:val="000000"/>
                <w:kern w:val="0"/>
                <w:sz w:val="21"/>
                <w:szCs w:val="21"/>
              </w:rPr>
            </w:pPr>
            <w:r>
              <w:rPr>
                <w:rFonts w:hint="eastAsia"/>
                <w:color w:val="000000"/>
                <w:kern w:val="0"/>
                <w:sz w:val="21"/>
                <w:szCs w:val="21"/>
              </w:rPr>
              <w:t>落实应急指挥部指令，组织调运重要生活必需品，保障群众基本生活和市场供应。</w:t>
            </w:r>
          </w:p>
        </w:tc>
      </w:tr>
      <w:tr>
        <w:tblPrEx>
          <w:tblCellMar>
            <w:top w:w="0" w:type="dxa"/>
            <w:left w:w="0" w:type="dxa"/>
            <w:bottom w:w="0" w:type="dxa"/>
            <w:right w:w="0" w:type="dxa"/>
          </w:tblCellMar>
        </w:tblPrEx>
        <w:trPr>
          <w:trHeight w:val="567" w:hRule="exact"/>
          <w:jc w:val="center"/>
        </w:trPr>
        <w:tc>
          <w:tcPr>
            <w:tcW w:w="28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0" w:firstLineChars="0"/>
              <w:jc w:val="center"/>
              <w:textAlignment w:val="center"/>
              <w:rPr>
                <w:rFonts w:hint="eastAsia" w:ascii="Times New Roman" w:hAnsi="Times New Roman" w:eastAsia="仿宋" w:cs="Times New Roman"/>
                <w:color w:val="000000"/>
                <w:sz w:val="21"/>
                <w:szCs w:val="21"/>
                <w:lang w:eastAsia="zh-CN"/>
              </w:rPr>
            </w:pPr>
            <w:r>
              <w:rPr>
                <w:rFonts w:hint="eastAsia" w:ascii="Times New Roman" w:hAnsi="Times New Roman" w:cs="Times New Roman"/>
                <w:color w:val="000000"/>
                <w:kern w:val="0"/>
                <w:sz w:val="21"/>
                <w:szCs w:val="21"/>
                <w:lang w:val="en-US" w:eastAsia="zh-CN"/>
              </w:rPr>
              <w:t>4</w:t>
            </w:r>
          </w:p>
        </w:tc>
        <w:tc>
          <w:tcPr>
            <w:tcW w:w="7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0" w:firstLineChars="0"/>
              <w:jc w:val="center"/>
              <w:textAlignment w:val="center"/>
              <w:rPr>
                <w:color w:val="000000"/>
                <w:sz w:val="21"/>
                <w:szCs w:val="21"/>
              </w:rPr>
            </w:pPr>
            <w:r>
              <w:rPr>
                <w:rFonts w:hint="eastAsia"/>
                <w:color w:val="000000"/>
                <w:kern w:val="0"/>
                <w:sz w:val="21"/>
                <w:szCs w:val="21"/>
              </w:rPr>
              <w:t>市公安局</w:t>
            </w:r>
          </w:p>
        </w:tc>
        <w:tc>
          <w:tcPr>
            <w:tcW w:w="39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ind w:firstLine="0" w:firstLineChars="0"/>
              <w:jc w:val="left"/>
              <w:textAlignment w:val="center"/>
              <w:rPr>
                <w:color w:val="000000"/>
                <w:kern w:val="0"/>
                <w:sz w:val="21"/>
                <w:szCs w:val="21"/>
              </w:rPr>
            </w:pPr>
            <w:r>
              <w:rPr>
                <w:rFonts w:hint="eastAsia"/>
                <w:color w:val="000000"/>
                <w:kern w:val="0"/>
                <w:sz w:val="21"/>
                <w:szCs w:val="21"/>
              </w:rPr>
              <w:t>落实应急指挥部指令，及时妥善处理由大面积停电引发的治安事件，加强治安巡逻，维护社会秩序，及时组织疏导交通，保障救援工作及时有效进行。</w:t>
            </w:r>
          </w:p>
        </w:tc>
      </w:tr>
      <w:tr>
        <w:tblPrEx>
          <w:tblCellMar>
            <w:top w:w="0" w:type="dxa"/>
            <w:left w:w="0" w:type="dxa"/>
            <w:bottom w:w="0" w:type="dxa"/>
            <w:right w:w="0" w:type="dxa"/>
          </w:tblCellMar>
        </w:tblPrEx>
        <w:trPr>
          <w:trHeight w:val="1104" w:hRule="exact"/>
          <w:jc w:val="center"/>
        </w:trPr>
        <w:tc>
          <w:tcPr>
            <w:tcW w:w="28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0" w:firstLineChars="0"/>
              <w:jc w:val="center"/>
              <w:textAlignment w:val="center"/>
              <w:rPr>
                <w:rFonts w:hint="eastAsia" w:ascii="Times New Roman" w:hAnsi="Times New Roman" w:eastAsia="仿宋" w:cs="Times New Roman"/>
                <w:color w:val="000000"/>
                <w:kern w:val="0"/>
                <w:sz w:val="21"/>
                <w:szCs w:val="21"/>
                <w:lang w:eastAsia="zh-CN"/>
              </w:rPr>
            </w:pPr>
            <w:r>
              <w:rPr>
                <w:rFonts w:hint="eastAsia" w:ascii="Times New Roman" w:hAnsi="Times New Roman" w:cs="Times New Roman"/>
                <w:color w:val="000000"/>
                <w:kern w:val="0"/>
                <w:sz w:val="21"/>
                <w:szCs w:val="21"/>
                <w:lang w:val="en-US" w:eastAsia="zh-CN"/>
              </w:rPr>
              <w:t>5</w:t>
            </w:r>
          </w:p>
        </w:tc>
        <w:tc>
          <w:tcPr>
            <w:tcW w:w="766" w:type="pct"/>
            <w:tcBorders>
              <w:top w:val="single" w:color="000000" w:sz="4" w:space="0"/>
              <w:left w:val="single" w:color="000000" w:sz="4" w:space="0"/>
              <w:right w:val="single" w:color="000000" w:sz="4" w:space="0"/>
            </w:tcBorders>
            <w:tcMar>
              <w:top w:w="15" w:type="dxa"/>
              <w:left w:w="15" w:type="dxa"/>
              <w:right w:w="15" w:type="dxa"/>
            </w:tcMar>
            <w:vAlign w:val="center"/>
          </w:tcPr>
          <w:p>
            <w:pPr>
              <w:widowControl/>
              <w:ind w:firstLine="0" w:firstLineChars="0"/>
              <w:jc w:val="center"/>
              <w:textAlignment w:val="center"/>
              <w:rPr>
                <w:color w:val="000000"/>
                <w:kern w:val="0"/>
                <w:sz w:val="21"/>
                <w:szCs w:val="21"/>
              </w:rPr>
            </w:pPr>
            <w:r>
              <w:rPr>
                <w:rFonts w:hint="eastAsia"/>
                <w:color w:val="000000"/>
                <w:kern w:val="0"/>
                <w:sz w:val="21"/>
                <w:szCs w:val="21"/>
              </w:rPr>
              <w:t>市财政局</w:t>
            </w:r>
          </w:p>
        </w:tc>
        <w:tc>
          <w:tcPr>
            <w:tcW w:w="3951" w:type="pc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260" w:lineRule="exact"/>
              <w:ind w:firstLine="0" w:firstLineChars="0"/>
              <w:jc w:val="left"/>
              <w:textAlignment w:val="center"/>
              <w:rPr>
                <w:color w:val="000000"/>
                <w:kern w:val="0"/>
                <w:sz w:val="21"/>
                <w:szCs w:val="21"/>
              </w:rPr>
            </w:pPr>
            <w:r>
              <w:rPr>
                <w:rFonts w:hint="eastAsia"/>
                <w:color w:val="000000"/>
                <w:kern w:val="0"/>
                <w:sz w:val="21"/>
                <w:szCs w:val="21"/>
              </w:rPr>
              <w:t>落实应急指挥部指令，落实应急资金保障。落实应急指挥部指令，负责协调</w:t>
            </w:r>
            <w:r>
              <w:rPr>
                <w:rFonts w:hint="eastAsia"/>
                <w:color w:val="000000"/>
                <w:kern w:val="0"/>
                <w:sz w:val="21"/>
                <w:szCs w:val="21"/>
                <w:lang w:eastAsia="zh-CN"/>
              </w:rPr>
              <w:t>出资</w:t>
            </w:r>
            <w:r>
              <w:rPr>
                <w:rFonts w:hint="eastAsia"/>
                <w:color w:val="000000"/>
                <w:kern w:val="0"/>
                <w:sz w:val="21"/>
                <w:szCs w:val="21"/>
              </w:rPr>
              <w:t>企业应急资源，协助做好应急救援装备物资、储备调拨和紧急配送工作。</w:t>
            </w:r>
          </w:p>
        </w:tc>
      </w:tr>
      <w:tr>
        <w:tblPrEx>
          <w:tblCellMar>
            <w:top w:w="0" w:type="dxa"/>
            <w:left w:w="0" w:type="dxa"/>
            <w:bottom w:w="0" w:type="dxa"/>
            <w:right w:w="0" w:type="dxa"/>
          </w:tblCellMar>
        </w:tblPrEx>
        <w:trPr>
          <w:trHeight w:val="567" w:hRule="exact"/>
          <w:jc w:val="center"/>
        </w:trPr>
        <w:tc>
          <w:tcPr>
            <w:tcW w:w="28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0" w:firstLineChars="0"/>
              <w:jc w:val="center"/>
              <w:textAlignment w:val="center"/>
              <w:rPr>
                <w:rFonts w:hint="eastAsia" w:ascii="Times New Roman" w:hAnsi="Times New Roman" w:eastAsia="仿宋" w:cs="Times New Roman"/>
                <w:color w:val="000000"/>
                <w:kern w:val="0"/>
                <w:sz w:val="21"/>
                <w:szCs w:val="21"/>
                <w:lang w:eastAsia="zh-CN"/>
              </w:rPr>
            </w:pPr>
            <w:r>
              <w:rPr>
                <w:rFonts w:hint="eastAsia" w:ascii="Times New Roman" w:hAnsi="Times New Roman" w:cs="Times New Roman"/>
                <w:color w:val="000000"/>
                <w:kern w:val="0"/>
                <w:sz w:val="21"/>
                <w:szCs w:val="21"/>
                <w:lang w:val="en-US" w:eastAsia="zh-CN"/>
              </w:rPr>
              <w:t>6</w:t>
            </w:r>
          </w:p>
        </w:tc>
        <w:tc>
          <w:tcPr>
            <w:tcW w:w="7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0" w:firstLineChars="0"/>
              <w:jc w:val="center"/>
              <w:textAlignment w:val="center"/>
              <w:rPr>
                <w:color w:val="000000"/>
                <w:sz w:val="21"/>
                <w:szCs w:val="21"/>
              </w:rPr>
            </w:pPr>
            <w:r>
              <w:rPr>
                <w:rFonts w:hint="eastAsia"/>
                <w:color w:val="000000"/>
                <w:kern w:val="0"/>
                <w:sz w:val="21"/>
                <w:szCs w:val="21"/>
              </w:rPr>
              <w:t>市住建局</w:t>
            </w:r>
          </w:p>
        </w:tc>
        <w:tc>
          <w:tcPr>
            <w:tcW w:w="39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ind w:firstLine="0" w:firstLineChars="0"/>
              <w:jc w:val="left"/>
              <w:textAlignment w:val="center"/>
              <w:rPr>
                <w:color w:val="000000"/>
                <w:kern w:val="0"/>
                <w:sz w:val="21"/>
                <w:szCs w:val="21"/>
              </w:rPr>
            </w:pPr>
            <w:r>
              <w:rPr>
                <w:rFonts w:hint="eastAsia"/>
                <w:color w:val="000000"/>
                <w:kern w:val="0"/>
                <w:sz w:val="21"/>
                <w:szCs w:val="21"/>
              </w:rPr>
              <w:t>落实应急指挥部指令，负责采取有效措施，最大限度保护供水、供气、供电等城市建设基础设施免遭损毁；组织抢修受损毁的供水、供气、供电等设施。</w:t>
            </w:r>
          </w:p>
        </w:tc>
      </w:tr>
      <w:tr>
        <w:tblPrEx>
          <w:tblCellMar>
            <w:top w:w="0" w:type="dxa"/>
            <w:left w:w="0" w:type="dxa"/>
            <w:bottom w:w="0" w:type="dxa"/>
            <w:right w:w="0" w:type="dxa"/>
          </w:tblCellMar>
        </w:tblPrEx>
        <w:trPr>
          <w:trHeight w:val="875" w:hRule="exact"/>
          <w:jc w:val="center"/>
        </w:trPr>
        <w:tc>
          <w:tcPr>
            <w:tcW w:w="28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0" w:firstLineChars="0"/>
              <w:jc w:val="center"/>
              <w:textAlignment w:val="center"/>
              <w:rPr>
                <w:rFonts w:hint="eastAsia" w:ascii="Times New Roman" w:hAnsi="Times New Roman" w:eastAsia="仿宋" w:cs="Times New Roman"/>
                <w:color w:val="000000"/>
                <w:kern w:val="0"/>
                <w:sz w:val="21"/>
                <w:szCs w:val="21"/>
                <w:lang w:eastAsia="zh-CN"/>
              </w:rPr>
            </w:pPr>
            <w:r>
              <w:rPr>
                <w:rFonts w:hint="eastAsia" w:ascii="Times New Roman" w:hAnsi="Times New Roman" w:cs="Times New Roman"/>
                <w:color w:val="000000"/>
                <w:kern w:val="0"/>
                <w:sz w:val="21"/>
                <w:szCs w:val="21"/>
                <w:lang w:val="en-US" w:eastAsia="zh-CN"/>
              </w:rPr>
              <w:t>7</w:t>
            </w:r>
          </w:p>
        </w:tc>
        <w:tc>
          <w:tcPr>
            <w:tcW w:w="7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0" w:firstLineChars="0"/>
              <w:jc w:val="center"/>
              <w:textAlignment w:val="center"/>
              <w:rPr>
                <w:color w:val="000000"/>
                <w:sz w:val="21"/>
                <w:szCs w:val="21"/>
              </w:rPr>
            </w:pPr>
            <w:r>
              <w:rPr>
                <w:rFonts w:hint="eastAsia"/>
                <w:color w:val="000000"/>
                <w:kern w:val="0"/>
                <w:sz w:val="21"/>
                <w:szCs w:val="21"/>
              </w:rPr>
              <w:t>市交通局</w:t>
            </w:r>
          </w:p>
        </w:tc>
        <w:tc>
          <w:tcPr>
            <w:tcW w:w="39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ind w:firstLine="0" w:firstLineChars="0"/>
              <w:jc w:val="left"/>
              <w:textAlignment w:val="center"/>
              <w:rPr>
                <w:color w:val="000000"/>
                <w:kern w:val="0"/>
                <w:sz w:val="21"/>
                <w:szCs w:val="21"/>
              </w:rPr>
            </w:pPr>
            <w:r>
              <w:rPr>
                <w:rFonts w:hint="eastAsia"/>
                <w:color w:val="000000"/>
                <w:kern w:val="0"/>
                <w:sz w:val="21"/>
                <w:szCs w:val="21"/>
              </w:rPr>
              <w:t>落实应急指挥部指令，第一时间通知货运、客运运输公司，及时组织车辆，做好人员的转移及物资储备的调运；处置过程中，养护机械、设施、人员及时配备到位，保障道路畅通。</w:t>
            </w:r>
          </w:p>
        </w:tc>
      </w:tr>
      <w:tr>
        <w:tblPrEx>
          <w:tblCellMar>
            <w:top w:w="0" w:type="dxa"/>
            <w:left w:w="0" w:type="dxa"/>
            <w:bottom w:w="0" w:type="dxa"/>
            <w:right w:w="0" w:type="dxa"/>
          </w:tblCellMar>
        </w:tblPrEx>
        <w:trPr>
          <w:trHeight w:val="846" w:hRule="exact"/>
          <w:jc w:val="center"/>
        </w:trPr>
        <w:tc>
          <w:tcPr>
            <w:tcW w:w="28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0" w:firstLineChars="0"/>
              <w:jc w:val="center"/>
              <w:textAlignment w:val="center"/>
              <w:rPr>
                <w:rFonts w:hint="eastAsia" w:ascii="Times New Roman" w:hAnsi="Times New Roman" w:eastAsia="仿宋" w:cs="Times New Roman"/>
                <w:color w:val="000000"/>
                <w:kern w:val="0"/>
                <w:sz w:val="21"/>
                <w:szCs w:val="21"/>
                <w:lang w:eastAsia="zh-CN"/>
              </w:rPr>
            </w:pPr>
            <w:r>
              <w:rPr>
                <w:rFonts w:hint="eastAsia" w:ascii="Times New Roman" w:hAnsi="Times New Roman" w:cs="Times New Roman"/>
                <w:color w:val="000000"/>
                <w:kern w:val="0"/>
                <w:sz w:val="21"/>
                <w:szCs w:val="21"/>
                <w:lang w:val="en-US" w:eastAsia="zh-CN"/>
              </w:rPr>
              <w:t>8</w:t>
            </w:r>
          </w:p>
        </w:tc>
        <w:tc>
          <w:tcPr>
            <w:tcW w:w="7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0" w:firstLineChars="0"/>
              <w:jc w:val="center"/>
              <w:textAlignment w:val="center"/>
              <w:rPr>
                <w:color w:val="000000"/>
                <w:kern w:val="0"/>
                <w:sz w:val="21"/>
                <w:szCs w:val="21"/>
              </w:rPr>
            </w:pPr>
            <w:r>
              <w:rPr>
                <w:rFonts w:hint="eastAsia"/>
                <w:color w:val="000000"/>
                <w:kern w:val="0"/>
                <w:sz w:val="21"/>
                <w:szCs w:val="21"/>
              </w:rPr>
              <w:t>市水利局</w:t>
            </w:r>
          </w:p>
        </w:tc>
        <w:tc>
          <w:tcPr>
            <w:tcW w:w="39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ind w:firstLine="0" w:firstLineChars="0"/>
              <w:jc w:val="left"/>
              <w:textAlignment w:val="center"/>
              <w:rPr>
                <w:color w:val="000000"/>
                <w:kern w:val="0"/>
                <w:sz w:val="21"/>
                <w:szCs w:val="21"/>
              </w:rPr>
            </w:pPr>
            <w:r>
              <w:rPr>
                <w:rFonts w:hint="eastAsia"/>
                <w:color w:val="000000"/>
                <w:kern w:val="0"/>
                <w:sz w:val="21"/>
                <w:szCs w:val="21"/>
              </w:rPr>
              <w:t>落实应急指挥部指令，做好因台风、暴雨、洪水、干旱等自然灾害造成的大面积停电事件的相关处置工作，确保水利工程和人民生命、财产的安全；负责向电力部门提供预警预报系统监测的水情信息。</w:t>
            </w:r>
          </w:p>
        </w:tc>
      </w:tr>
      <w:tr>
        <w:tblPrEx>
          <w:tblCellMar>
            <w:top w:w="0" w:type="dxa"/>
            <w:left w:w="0" w:type="dxa"/>
            <w:bottom w:w="0" w:type="dxa"/>
            <w:right w:w="0" w:type="dxa"/>
          </w:tblCellMar>
        </w:tblPrEx>
        <w:trPr>
          <w:trHeight w:val="567" w:hRule="exact"/>
          <w:jc w:val="center"/>
        </w:trPr>
        <w:tc>
          <w:tcPr>
            <w:tcW w:w="28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0" w:firstLineChars="0"/>
              <w:jc w:val="center"/>
              <w:textAlignment w:val="center"/>
              <w:rPr>
                <w:rFonts w:hint="eastAsia" w:ascii="Times New Roman" w:hAnsi="Times New Roman" w:eastAsia="仿宋" w:cs="Times New Roman"/>
                <w:color w:val="000000"/>
                <w:kern w:val="0"/>
                <w:sz w:val="21"/>
                <w:szCs w:val="21"/>
                <w:lang w:eastAsia="zh-CN"/>
              </w:rPr>
            </w:pPr>
            <w:r>
              <w:rPr>
                <w:rFonts w:hint="eastAsia" w:ascii="Times New Roman" w:hAnsi="Times New Roman" w:cs="Times New Roman"/>
                <w:color w:val="000000"/>
                <w:kern w:val="0"/>
                <w:sz w:val="21"/>
                <w:szCs w:val="21"/>
                <w:lang w:val="en-US" w:eastAsia="zh-CN"/>
              </w:rPr>
              <w:t>9</w:t>
            </w:r>
          </w:p>
        </w:tc>
        <w:tc>
          <w:tcPr>
            <w:tcW w:w="7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0" w:firstLineChars="0"/>
              <w:jc w:val="center"/>
              <w:textAlignment w:val="center"/>
              <w:rPr>
                <w:color w:val="000000"/>
                <w:kern w:val="0"/>
                <w:sz w:val="21"/>
                <w:szCs w:val="21"/>
              </w:rPr>
            </w:pPr>
            <w:r>
              <w:rPr>
                <w:rFonts w:hint="eastAsia"/>
                <w:color w:val="000000"/>
                <w:kern w:val="0"/>
                <w:sz w:val="21"/>
                <w:szCs w:val="21"/>
              </w:rPr>
              <w:t>市商务局</w:t>
            </w:r>
          </w:p>
        </w:tc>
        <w:tc>
          <w:tcPr>
            <w:tcW w:w="39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ind w:firstLine="0" w:firstLineChars="0"/>
              <w:jc w:val="left"/>
              <w:textAlignment w:val="center"/>
              <w:rPr>
                <w:color w:val="000000"/>
                <w:kern w:val="0"/>
                <w:sz w:val="21"/>
                <w:szCs w:val="21"/>
              </w:rPr>
            </w:pPr>
            <w:r>
              <w:rPr>
                <w:rFonts w:hint="eastAsia"/>
                <w:color w:val="000000"/>
                <w:kern w:val="0"/>
                <w:sz w:val="21"/>
                <w:szCs w:val="21"/>
              </w:rPr>
              <w:t>落实应急指挥部指令，及时组织调运重要生活必需品，保障群众基本生活和市场供应。</w:t>
            </w:r>
          </w:p>
        </w:tc>
      </w:tr>
      <w:tr>
        <w:tblPrEx>
          <w:tblCellMar>
            <w:top w:w="0" w:type="dxa"/>
            <w:left w:w="0" w:type="dxa"/>
            <w:bottom w:w="0" w:type="dxa"/>
            <w:right w:w="0" w:type="dxa"/>
          </w:tblCellMar>
        </w:tblPrEx>
        <w:trPr>
          <w:trHeight w:val="1104" w:hRule="exact"/>
          <w:jc w:val="center"/>
        </w:trPr>
        <w:tc>
          <w:tcPr>
            <w:tcW w:w="28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0" w:firstLineChars="0"/>
              <w:jc w:val="center"/>
              <w:textAlignment w:val="center"/>
              <w:rPr>
                <w:rFonts w:hint="default" w:ascii="Times New Roman" w:hAnsi="Times New Roman" w:eastAsia="仿宋"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10</w:t>
            </w:r>
          </w:p>
        </w:tc>
        <w:tc>
          <w:tcPr>
            <w:tcW w:w="766" w:type="pct"/>
            <w:tcBorders>
              <w:top w:val="single" w:color="000000" w:sz="4" w:space="0"/>
              <w:left w:val="single" w:color="000000" w:sz="4" w:space="0"/>
              <w:right w:val="single" w:color="000000" w:sz="4" w:space="0"/>
            </w:tcBorders>
            <w:tcMar>
              <w:top w:w="15" w:type="dxa"/>
              <w:left w:w="15" w:type="dxa"/>
              <w:right w:w="15" w:type="dxa"/>
            </w:tcMar>
            <w:vAlign w:val="center"/>
          </w:tcPr>
          <w:p>
            <w:pPr>
              <w:widowControl/>
              <w:ind w:firstLine="0" w:firstLineChars="0"/>
              <w:jc w:val="center"/>
              <w:textAlignment w:val="center"/>
              <w:rPr>
                <w:color w:val="auto"/>
                <w:kern w:val="0"/>
                <w:sz w:val="21"/>
                <w:szCs w:val="21"/>
              </w:rPr>
            </w:pPr>
            <w:r>
              <w:rPr>
                <w:rFonts w:hint="eastAsia"/>
                <w:color w:val="auto"/>
                <w:kern w:val="0"/>
                <w:sz w:val="21"/>
                <w:szCs w:val="21"/>
              </w:rPr>
              <w:t>市工信局</w:t>
            </w:r>
          </w:p>
        </w:tc>
        <w:tc>
          <w:tcPr>
            <w:tcW w:w="3951" w:type="pct"/>
            <w:tcBorders>
              <w:top w:val="single" w:color="000000" w:sz="4" w:space="0"/>
              <w:left w:val="single" w:color="000000" w:sz="4" w:space="0"/>
              <w:right w:val="single" w:color="000000" w:sz="4" w:space="0"/>
            </w:tcBorders>
            <w:tcMar>
              <w:top w:w="15" w:type="dxa"/>
              <w:left w:w="15" w:type="dxa"/>
              <w:right w:w="15" w:type="dxa"/>
            </w:tcMar>
            <w:vAlign w:val="center"/>
          </w:tcPr>
          <w:p>
            <w:pPr>
              <w:widowControl/>
              <w:ind w:firstLine="0" w:firstLineChars="0"/>
              <w:jc w:val="left"/>
              <w:textAlignment w:val="center"/>
              <w:rPr>
                <w:color w:val="auto"/>
                <w:kern w:val="0"/>
                <w:sz w:val="21"/>
                <w:szCs w:val="21"/>
              </w:rPr>
            </w:pPr>
            <w:r>
              <w:rPr>
                <w:rFonts w:hint="eastAsia"/>
                <w:color w:val="auto"/>
                <w:kern w:val="0"/>
                <w:sz w:val="21"/>
                <w:szCs w:val="21"/>
              </w:rPr>
              <w:t>落实应急指挥部指令，负责协调相关行业做好应急救援装备物资及生产生活物资的紧急生产、储备调拨和紧急配送工作。负责保障网络与信息安全、并承担党政专用通信建立和应急通信工作等；</w:t>
            </w:r>
          </w:p>
        </w:tc>
      </w:tr>
      <w:tr>
        <w:tblPrEx>
          <w:tblCellMar>
            <w:top w:w="0" w:type="dxa"/>
            <w:left w:w="0" w:type="dxa"/>
            <w:bottom w:w="0" w:type="dxa"/>
            <w:right w:w="0" w:type="dxa"/>
          </w:tblCellMar>
        </w:tblPrEx>
        <w:trPr>
          <w:trHeight w:val="567" w:hRule="exact"/>
          <w:jc w:val="center"/>
        </w:trPr>
        <w:tc>
          <w:tcPr>
            <w:tcW w:w="28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0" w:firstLineChars="0"/>
              <w:jc w:val="center"/>
              <w:textAlignment w:val="center"/>
              <w:rPr>
                <w:rFonts w:hint="default" w:ascii="Times New Roman" w:hAnsi="Times New Roman" w:eastAsia="仿宋" w:cs="Times New Roman"/>
                <w:color w:val="000000"/>
                <w:sz w:val="21"/>
                <w:szCs w:val="21"/>
                <w:lang w:val="en-US" w:eastAsia="zh-CN"/>
              </w:rPr>
            </w:pPr>
            <w:r>
              <w:rPr>
                <w:rFonts w:hint="eastAsia" w:ascii="Times New Roman" w:hAnsi="Times New Roman" w:cs="Times New Roman"/>
                <w:color w:val="000000"/>
                <w:sz w:val="21"/>
                <w:szCs w:val="21"/>
                <w:lang w:val="en-US" w:eastAsia="zh-CN"/>
              </w:rPr>
              <w:t>11</w:t>
            </w:r>
          </w:p>
        </w:tc>
        <w:tc>
          <w:tcPr>
            <w:tcW w:w="7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0" w:firstLineChars="0"/>
              <w:jc w:val="center"/>
              <w:textAlignment w:val="center"/>
              <w:rPr>
                <w:rFonts w:hint="eastAsia" w:eastAsia="仿宋"/>
                <w:kern w:val="0"/>
                <w:sz w:val="21"/>
                <w:szCs w:val="21"/>
                <w:lang w:eastAsia="zh-CN"/>
              </w:rPr>
            </w:pPr>
            <w:r>
              <w:rPr>
                <w:rFonts w:hint="eastAsia"/>
                <w:color w:val="auto"/>
                <w:kern w:val="0"/>
                <w:sz w:val="21"/>
                <w:szCs w:val="21"/>
                <w:lang w:eastAsia="zh-CN"/>
              </w:rPr>
              <w:t>沈阳铁路局通化车务段</w:t>
            </w:r>
          </w:p>
        </w:tc>
        <w:tc>
          <w:tcPr>
            <w:tcW w:w="39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ind w:firstLine="0" w:firstLineChars="0"/>
              <w:jc w:val="left"/>
              <w:textAlignment w:val="center"/>
              <w:rPr>
                <w:color w:val="000000"/>
                <w:kern w:val="0"/>
                <w:sz w:val="21"/>
                <w:szCs w:val="21"/>
              </w:rPr>
            </w:pPr>
            <w:r>
              <w:rPr>
                <w:rFonts w:hint="eastAsia"/>
                <w:color w:val="000000"/>
                <w:kern w:val="0"/>
                <w:sz w:val="21"/>
                <w:szCs w:val="21"/>
              </w:rPr>
              <w:t>负责组织疏导火车站滞留旅客，保障应急处置所需的铁路交通运输保障工作。及时向牵头单位汇报工作进展。</w:t>
            </w:r>
          </w:p>
        </w:tc>
      </w:tr>
      <w:tr>
        <w:tblPrEx>
          <w:tblCellMar>
            <w:top w:w="0" w:type="dxa"/>
            <w:left w:w="0" w:type="dxa"/>
            <w:bottom w:w="0" w:type="dxa"/>
            <w:right w:w="0" w:type="dxa"/>
          </w:tblCellMar>
        </w:tblPrEx>
        <w:trPr>
          <w:trHeight w:val="567" w:hRule="exact"/>
          <w:jc w:val="center"/>
        </w:trPr>
        <w:tc>
          <w:tcPr>
            <w:tcW w:w="5000"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0" w:firstLineChars="0"/>
              <w:jc w:val="center"/>
              <w:textAlignment w:val="center"/>
              <w:rPr>
                <w:color w:val="000000"/>
                <w:sz w:val="21"/>
                <w:szCs w:val="21"/>
              </w:rPr>
            </w:pPr>
            <w:r>
              <w:rPr>
                <w:rFonts w:hint="eastAsia"/>
                <w:b/>
                <w:bCs/>
                <w:color w:val="000000"/>
                <w:kern w:val="0"/>
                <w:sz w:val="21"/>
                <w:szCs w:val="21"/>
              </w:rPr>
              <w:t>社会稳定组</w:t>
            </w:r>
          </w:p>
        </w:tc>
      </w:tr>
      <w:tr>
        <w:tblPrEx>
          <w:tblCellMar>
            <w:top w:w="0" w:type="dxa"/>
            <w:left w:w="0" w:type="dxa"/>
            <w:bottom w:w="0" w:type="dxa"/>
            <w:right w:w="0" w:type="dxa"/>
          </w:tblCellMar>
        </w:tblPrEx>
        <w:trPr>
          <w:trHeight w:val="567" w:hRule="exact"/>
          <w:jc w:val="center"/>
        </w:trPr>
        <w:tc>
          <w:tcPr>
            <w:tcW w:w="5000"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0" w:firstLineChars="0"/>
              <w:jc w:val="left"/>
              <w:textAlignment w:val="center"/>
              <w:rPr>
                <w:color w:val="000000"/>
                <w:sz w:val="21"/>
                <w:szCs w:val="21"/>
              </w:rPr>
            </w:pPr>
            <w:r>
              <w:rPr>
                <w:rFonts w:hint="eastAsia"/>
                <w:color w:val="000000"/>
                <w:kern w:val="0"/>
                <w:sz w:val="21"/>
                <w:szCs w:val="21"/>
              </w:rPr>
              <w:t>职责：由市公安局牵头，根据情况事态，组织相关警种和部门做好交通运输管理、案件侦破、治安管理、安全保卫等相关工作。</w:t>
            </w:r>
          </w:p>
        </w:tc>
      </w:tr>
      <w:tr>
        <w:tblPrEx>
          <w:tblCellMar>
            <w:top w:w="0" w:type="dxa"/>
            <w:left w:w="0" w:type="dxa"/>
            <w:bottom w:w="0" w:type="dxa"/>
            <w:right w:w="0" w:type="dxa"/>
          </w:tblCellMar>
        </w:tblPrEx>
        <w:trPr>
          <w:trHeight w:val="567" w:hRule="exact"/>
          <w:jc w:val="center"/>
        </w:trPr>
        <w:tc>
          <w:tcPr>
            <w:tcW w:w="2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0" w:firstLineChars="0"/>
              <w:jc w:val="center"/>
              <w:textAlignment w:val="center"/>
              <w:rPr>
                <w:color w:val="000000"/>
                <w:sz w:val="21"/>
                <w:szCs w:val="21"/>
              </w:rPr>
            </w:pPr>
            <w:r>
              <w:rPr>
                <w:rFonts w:hint="eastAsia"/>
                <w:color w:val="000000"/>
                <w:kern w:val="0"/>
                <w:sz w:val="21"/>
                <w:szCs w:val="21"/>
              </w:rPr>
              <w:t>序号</w:t>
            </w:r>
          </w:p>
        </w:tc>
        <w:tc>
          <w:tcPr>
            <w:tcW w:w="7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0" w:firstLineChars="0"/>
              <w:jc w:val="center"/>
              <w:textAlignment w:val="center"/>
              <w:rPr>
                <w:color w:val="000000"/>
                <w:sz w:val="21"/>
                <w:szCs w:val="21"/>
              </w:rPr>
            </w:pPr>
            <w:r>
              <w:rPr>
                <w:rFonts w:hint="eastAsia"/>
                <w:color w:val="000000"/>
                <w:kern w:val="0"/>
                <w:sz w:val="21"/>
                <w:szCs w:val="21"/>
              </w:rPr>
              <w:t>部门</w:t>
            </w:r>
          </w:p>
        </w:tc>
        <w:tc>
          <w:tcPr>
            <w:tcW w:w="39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0" w:firstLineChars="0"/>
              <w:jc w:val="center"/>
              <w:textAlignment w:val="center"/>
              <w:rPr>
                <w:color w:val="000000"/>
                <w:sz w:val="21"/>
                <w:szCs w:val="21"/>
              </w:rPr>
            </w:pPr>
            <w:r>
              <w:rPr>
                <w:rFonts w:hint="eastAsia"/>
                <w:color w:val="000000"/>
                <w:kern w:val="0"/>
                <w:sz w:val="21"/>
                <w:szCs w:val="21"/>
              </w:rPr>
              <w:t>具体工作流程</w:t>
            </w:r>
          </w:p>
        </w:tc>
      </w:tr>
      <w:tr>
        <w:tblPrEx>
          <w:tblCellMar>
            <w:top w:w="0" w:type="dxa"/>
            <w:left w:w="0" w:type="dxa"/>
            <w:bottom w:w="0" w:type="dxa"/>
            <w:right w:w="0" w:type="dxa"/>
          </w:tblCellMar>
        </w:tblPrEx>
        <w:trPr>
          <w:trHeight w:val="567" w:hRule="exact"/>
          <w:jc w:val="center"/>
        </w:trPr>
        <w:tc>
          <w:tcPr>
            <w:tcW w:w="28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0" w:firstLineChars="0"/>
              <w:jc w:val="center"/>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1</w:t>
            </w:r>
          </w:p>
        </w:tc>
        <w:tc>
          <w:tcPr>
            <w:tcW w:w="7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0" w:firstLineChars="0"/>
              <w:jc w:val="center"/>
              <w:textAlignment w:val="center"/>
              <w:rPr>
                <w:color w:val="000000"/>
                <w:kern w:val="0"/>
                <w:sz w:val="21"/>
                <w:szCs w:val="21"/>
              </w:rPr>
            </w:pPr>
            <w:r>
              <w:rPr>
                <w:rFonts w:hint="eastAsia"/>
                <w:color w:val="000000"/>
                <w:kern w:val="0"/>
                <w:sz w:val="21"/>
                <w:szCs w:val="21"/>
              </w:rPr>
              <w:t>市发改委</w:t>
            </w:r>
          </w:p>
        </w:tc>
        <w:tc>
          <w:tcPr>
            <w:tcW w:w="39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0" w:firstLineChars="0"/>
              <w:jc w:val="left"/>
              <w:textAlignment w:val="center"/>
              <w:rPr>
                <w:color w:val="000000"/>
                <w:kern w:val="0"/>
                <w:sz w:val="21"/>
                <w:szCs w:val="21"/>
              </w:rPr>
            </w:pPr>
            <w:r>
              <w:rPr>
                <w:rFonts w:hint="eastAsia"/>
                <w:color w:val="000000"/>
                <w:kern w:val="0"/>
                <w:sz w:val="21"/>
                <w:szCs w:val="21"/>
              </w:rPr>
              <w:t>落实应急指挥部指令，及时向牵头单位汇报工作进展。</w:t>
            </w:r>
          </w:p>
        </w:tc>
      </w:tr>
      <w:tr>
        <w:tblPrEx>
          <w:tblCellMar>
            <w:top w:w="0" w:type="dxa"/>
            <w:left w:w="0" w:type="dxa"/>
            <w:bottom w:w="0" w:type="dxa"/>
            <w:right w:w="0" w:type="dxa"/>
          </w:tblCellMar>
        </w:tblPrEx>
        <w:trPr>
          <w:trHeight w:val="567" w:hRule="exact"/>
          <w:jc w:val="center"/>
        </w:trPr>
        <w:tc>
          <w:tcPr>
            <w:tcW w:w="28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0" w:firstLineChars="0"/>
              <w:jc w:val="center"/>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2</w:t>
            </w:r>
          </w:p>
        </w:tc>
        <w:tc>
          <w:tcPr>
            <w:tcW w:w="7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0" w:firstLineChars="0"/>
              <w:jc w:val="center"/>
              <w:textAlignment w:val="center"/>
              <w:rPr>
                <w:color w:val="000000"/>
                <w:sz w:val="21"/>
                <w:szCs w:val="21"/>
              </w:rPr>
            </w:pPr>
            <w:r>
              <w:rPr>
                <w:rFonts w:hint="eastAsia"/>
                <w:color w:val="000000"/>
                <w:kern w:val="0"/>
                <w:sz w:val="21"/>
                <w:szCs w:val="21"/>
              </w:rPr>
              <w:t>市民政局</w:t>
            </w:r>
          </w:p>
        </w:tc>
        <w:tc>
          <w:tcPr>
            <w:tcW w:w="39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0" w:firstLineChars="0"/>
              <w:jc w:val="left"/>
              <w:textAlignment w:val="center"/>
              <w:rPr>
                <w:color w:val="000000"/>
                <w:sz w:val="21"/>
                <w:szCs w:val="21"/>
              </w:rPr>
            </w:pPr>
            <w:r>
              <w:rPr>
                <w:rFonts w:hint="eastAsia"/>
                <w:color w:val="000000"/>
                <w:sz w:val="21"/>
                <w:szCs w:val="21"/>
              </w:rPr>
              <w:t>落实应急指挥部指令，准确掌握受灾群众的生活状况，对符合条件的受灾群众给予相应救助，做到应保尽保、应救尽救。及时向牵头单位汇报工作进展。</w:t>
            </w:r>
          </w:p>
        </w:tc>
      </w:tr>
      <w:tr>
        <w:tblPrEx>
          <w:tblCellMar>
            <w:top w:w="0" w:type="dxa"/>
            <w:left w:w="0" w:type="dxa"/>
            <w:bottom w:w="0" w:type="dxa"/>
            <w:right w:w="0" w:type="dxa"/>
          </w:tblCellMar>
        </w:tblPrEx>
        <w:trPr>
          <w:trHeight w:val="567" w:hRule="exact"/>
          <w:jc w:val="center"/>
        </w:trPr>
        <w:tc>
          <w:tcPr>
            <w:tcW w:w="28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0" w:firstLineChars="0"/>
              <w:jc w:val="center"/>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3</w:t>
            </w:r>
          </w:p>
        </w:tc>
        <w:tc>
          <w:tcPr>
            <w:tcW w:w="7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0" w:firstLineChars="0"/>
              <w:jc w:val="center"/>
              <w:textAlignment w:val="center"/>
              <w:rPr>
                <w:color w:val="000000"/>
                <w:sz w:val="21"/>
                <w:szCs w:val="21"/>
              </w:rPr>
            </w:pPr>
            <w:r>
              <w:rPr>
                <w:rFonts w:hint="eastAsia"/>
                <w:color w:val="000000"/>
                <w:sz w:val="21"/>
                <w:szCs w:val="21"/>
              </w:rPr>
              <w:t>市交通局</w:t>
            </w:r>
          </w:p>
        </w:tc>
        <w:tc>
          <w:tcPr>
            <w:tcW w:w="39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0" w:firstLineChars="0"/>
              <w:jc w:val="left"/>
              <w:textAlignment w:val="center"/>
              <w:rPr>
                <w:color w:val="000000"/>
                <w:sz w:val="21"/>
                <w:szCs w:val="21"/>
              </w:rPr>
            </w:pPr>
            <w:r>
              <w:rPr>
                <w:rFonts w:hint="eastAsia"/>
                <w:color w:val="000000"/>
                <w:sz w:val="21"/>
                <w:szCs w:val="21"/>
              </w:rPr>
              <w:t>落实应急指挥部指令，维护受影响区域交通运输秩序。及时向牵头单位汇报工作进展。</w:t>
            </w:r>
          </w:p>
        </w:tc>
      </w:tr>
      <w:tr>
        <w:tblPrEx>
          <w:tblCellMar>
            <w:top w:w="0" w:type="dxa"/>
            <w:left w:w="0" w:type="dxa"/>
            <w:bottom w:w="0" w:type="dxa"/>
            <w:right w:w="0" w:type="dxa"/>
          </w:tblCellMar>
        </w:tblPrEx>
        <w:trPr>
          <w:trHeight w:val="567" w:hRule="exact"/>
          <w:jc w:val="center"/>
        </w:trPr>
        <w:tc>
          <w:tcPr>
            <w:tcW w:w="28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0" w:firstLineChars="0"/>
              <w:jc w:val="center"/>
              <w:textAlignment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4</w:t>
            </w:r>
          </w:p>
        </w:tc>
        <w:tc>
          <w:tcPr>
            <w:tcW w:w="7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0" w:firstLineChars="0"/>
              <w:jc w:val="center"/>
              <w:textAlignment w:val="center"/>
              <w:rPr>
                <w:color w:val="000000"/>
                <w:sz w:val="21"/>
                <w:szCs w:val="21"/>
              </w:rPr>
            </w:pPr>
            <w:r>
              <w:rPr>
                <w:rFonts w:hint="eastAsia"/>
                <w:color w:val="000000"/>
                <w:sz w:val="21"/>
                <w:szCs w:val="21"/>
              </w:rPr>
              <w:t>市市场监管局</w:t>
            </w:r>
          </w:p>
        </w:tc>
        <w:tc>
          <w:tcPr>
            <w:tcW w:w="39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0" w:firstLineChars="0"/>
              <w:jc w:val="left"/>
              <w:textAlignment w:val="center"/>
              <w:rPr>
                <w:color w:val="000000"/>
                <w:sz w:val="21"/>
                <w:szCs w:val="21"/>
              </w:rPr>
            </w:pPr>
            <w:r>
              <w:rPr>
                <w:rFonts w:hint="eastAsia"/>
                <w:color w:val="000000"/>
                <w:sz w:val="21"/>
                <w:szCs w:val="21"/>
              </w:rPr>
              <w:t>落实应急指挥部指令，负责对重要生活必需品等商品的市场监管，打击囤积居奇行为。</w:t>
            </w:r>
          </w:p>
          <w:p>
            <w:pPr>
              <w:widowControl/>
              <w:ind w:firstLine="0" w:firstLineChars="0"/>
              <w:jc w:val="left"/>
              <w:textAlignment w:val="center"/>
              <w:rPr>
                <w:color w:val="000000"/>
                <w:sz w:val="21"/>
                <w:szCs w:val="21"/>
              </w:rPr>
            </w:pPr>
            <w:r>
              <w:rPr>
                <w:rFonts w:hint="eastAsia"/>
                <w:color w:val="000000"/>
                <w:sz w:val="21"/>
                <w:szCs w:val="21"/>
              </w:rPr>
              <w:t>负责食品、药品（流通领域）监管，组织和指导由事件引发的食品、药品（流通领域）安全事故应急处置和调查处理工作。及时向牵头单位汇报工作进展。</w:t>
            </w:r>
          </w:p>
        </w:tc>
      </w:tr>
      <w:tr>
        <w:tblPrEx>
          <w:tblCellMar>
            <w:top w:w="0" w:type="dxa"/>
            <w:left w:w="0" w:type="dxa"/>
            <w:bottom w:w="0" w:type="dxa"/>
            <w:right w:w="0" w:type="dxa"/>
          </w:tblCellMar>
        </w:tblPrEx>
        <w:trPr>
          <w:trHeight w:val="996" w:hRule="exact"/>
          <w:jc w:val="center"/>
        </w:trPr>
        <w:tc>
          <w:tcPr>
            <w:tcW w:w="28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0" w:firstLineChars="0"/>
              <w:jc w:val="center"/>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5</w:t>
            </w:r>
          </w:p>
        </w:tc>
        <w:tc>
          <w:tcPr>
            <w:tcW w:w="7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0" w:firstLineChars="0"/>
              <w:jc w:val="center"/>
              <w:textAlignment w:val="center"/>
              <w:rPr>
                <w:color w:val="000000"/>
                <w:sz w:val="21"/>
                <w:szCs w:val="21"/>
              </w:rPr>
            </w:pPr>
            <w:r>
              <w:rPr>
                <w:rFonts w:hint="eastAsia"/>
                <w:color w:val="000000"/>
                <w:sz w:val="21"/>
                <w:szCs w:val="21"/>
                <w:lang w:eastAsia="zh-CN"/>
              </w:rPr>
              <w:t>通化</w:t>
            </w:r>
            <w:r>
              <w:rPr>
                <w:rFonts w:hint="eastAsia"/>
                <w:color w:val="000000"/>
                <w:sz w:val="21"/>
                <w:szCs w:val="21"/>
              </w:rPr>
              <w:t>武警支队</w:t>
            </w:r>
          </w:p>
        </w:tc>
        <w:tc>
          <w:tcPr>
            <w:tcW w:w="39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0" w:firstLineChars="0"/>
              <w:jc w:val="left"/>
              <w:textAlignment w:val="center"/>
              <w:rPr>
                <w:color w:val="000000"/>
                <w:sz w:val="21"/>
                <w:szCs w:val="21"/>
              </w:rPr>
            </w:pPr>
            <w:r>
              <w:rPr>
                <w:rFonts w:hint="eastAsia"/>
                <w:color w:val="000000"/>
                <w:sz w:val="21"/>
                <w:szCs w:val="21"/>
              </w:rPr>
              <w:t>落实应急指挥部指令，对重点区域、重点单位的警戒；协助维护停电地区治安和交通疏导，会同有关部门疏散和救助遇险人员，协助做好人员安置点、救灾物资存放点等重点地区治安管控。及时向牵头单位汇报工作进展。</w:t>
            </w:r>
          </w:p>
        </w:tc>
      </w:tr>
      <w:tr>
        <w:tblPrEx>
          <w:tblCellMar>
            <w:top w:w="0" w:type="dxa"/>
            <w:left w:w="0" w:type="dxa"/>
            <w:bottom w:w="0" w:type="dxa"/>
            <w:right w:w="0" w:type="dxa"/>
          </w:tblCellMar>
        </w:tblPrEx>
        <w:trPr>
          <w:trHeight w:val="624" w:hRule="exact"/>
          <w:jc w:val="center"/>
        </w:trPr>
        <w:tc>
          <w:tcPr>
            <w:tcW w:w="282" w:type="pct"/>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pPr>
              <w:widowControl/>
              <w:ind w:firstLine="0" w:firstLineChars="0"/>
              <w:jc w:val="center"/>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6</w:t>
            </w:r>
          </w:p>
        </w:tc>
        <w:tc>
          <w:tcPr>
            <w:tcW w:w="766"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0" w:firstLineChars="0"/>
              <w:jc w:val="center"/>
              <w:textAlignment w:val="center"/>
              <w:rPr>
                <w:color w:val="000000"/>
                <w:sz w:val="21"/>
                <w:szCs w:val="21"/>
              </w:rPr>
            </w:pPr>
            <w:r>
              <w:rPr>
                <w:rFonts w:hint="eastAsia"/>
                <w:color w:val="000000"/>
                <w:sz w:val="21"/>
                <w:szCs w:val="21"/>
                <w:lang w:eastAsia="zh-CN"/>
              </w:rPr>
              <w:t>通化</w:t>
            </w:r>
            <w:r>
              <w:rPr>
                <w:rFonts w:hint="eastAsia"/>
                <w:color w:val="000000"/>
                <w:sz w:val="21"/>
                <w:szCs w:val="21"/>
              </w:rPr>
              <w:t>消防救援支队</w:t>
            </w:r>
          </w:p>
        </w:tc>
        <w:tc>
          <w:tcPr>
            <w:tcW w:w="3951" w:type="pct"/>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pPr>
              <w:widowControl/>
              <w:ind w:firstLine="0" w:firstLineChars="0"/>
              <w:jc w:val="left"/>
              <w:textAlignment w:val="center"/>
              <w:rPr>
                <w:color w:val="000000"/>
                <w:sz w:val="21"/>
                <w:szCs w:val="21"/>
              </w:rPr>
            </w:pPr>
            <w:r>
              <w:rPr>
                <w:rFonts w:hint="eastAsia"/>
                <w:color w:val="000000"/>
                <w:sz w:val="21"/>
                <w:szCs w:val="21"/>
              </w:rPr>
              <w:t>落实应急指挥部指令，做好灭火救援准备工作，及时扑灭停电期间发生的各类火灾和营救被困人员等。及时向牵头单位汇报工作进展。</w:t>
            </w:r>
          </w:p>
        </w:tc>
      </w:tr>
    </w:tbl>
    <w:p>
      <w:pPr>
        <w:ind w:firstLine="640"/>
      </w:pPr>
    </w:p>
    <w:p>
      <w:pPr>
        <w:ind w:firstLine="640"/>
        <w:rPr>
          <w:rFonts w:ascii="宋体" w:hAnsi="宋体" w:eastAsia="楷体" w:cs="宋体"/>
        </w:rPr>
      </w:pPr>
      <w:r>
        <w:br w:type="page"/>
      </w:r>
    </w:p>
    <w:p>
      <w:pPr>
        <w:pStyle w:val="4"/>
        <w:ind w:firstLine="0" w:firstLineChars="0"/>
        <w:rPr>
          <w:rFonts w:hint="eastAsia" w:ascii="黑体" w:hAnsi="黑体" w:eastAsia="黑体" w:cs="仿宋"/>
          <w:b w:val="0"/>
          <w:sz w:val="28"/>
          <w:szCs w:val="28"/>
          <w:lang w:val="en-US" w:eastAsia="zh-CN"/>
        </w:rPr>
      </w:pPr>
      <w:bookmarkStart w:id="181" w:name="_Toc34"/>
      <w:bookmarkStart w:id="182" w:name="_Toc26235"/>
      <w:r>
        <w:rPr>
          <w:rFonts w:hint="eastAsia" w:ascii="黑体" w:hAnsi="黑体" w:eastAsia="黑体" w:cs="仿宋"/>
          <w:b w:val="0"/>
          <w:sz w:val="28"/>
          <w:szCs w:val="28"/>
        </w:rPr>
        <w:t>附件</w:t>
      </w:r>
      <w:bookmarkEnd w:id="181"/>
      <w:r>
        <w:rPr>
          <w:rFonts w:hint="eastAsia" w:ascii="黑体" w:hAnsi="黑体" w:eastAsia="黑体" w:cs="仿宋"/>
          <w:b w:val="0"/>
          <w:sz w:val="28"/>
          <w:szCs w:val="28"/>
          <w:lang w:val="en-US" w:eastAsia="zh-CN"/>
        </w:rPr>
        <w:t>5</w:t>
      </w:r>
    </w:p>
    <w:p>
      <w:pPr>
        <w:pStyle w:val="4"/>
        <w:ind w:firstLine="0" w:firstLineChars="0"/>
        <w:jc w:val="center"/>
        <w:rPr>
          <w:rFonts w:ascii="方正小标宋简体" w:hAnsi="方正小标宋简体" w:eastAsia="方正小标宋简体" w:cs="方正小标宋简体"/>
          <w:b w:val="0"/>
          <w:sz w:val="44"/>
          <w:szCs w:val="44"/>
        </w:rPr>
      </w:pPr>
      <w:bookmarkStart w:id="183" w:name="_Toc9734"/>
    </w:p>
    <w:p>
      <w:pPr>
        <w:pStyle w:val="4"/>
        <w:ind w:firstLine="0" w:firstLineChars="0"/>
        <w:jc w:val="center"/>
        <w:rPr>
          <w:rFonts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b w:val="0"/>
          <w:sz w:val="44"/>
          <w:szCs w:val="44"/>
          <w:lang w:eastAsia="zh-CN"/>
        </w:rPr>
        <w:t>通化</w:t>
      </w:r>
      <w:r>
        <w:rPr>
          <w:rFonts w:hint="eastAsia" w:ascii="方正小标宋简体" w:hAnsi="方正小标宋简体" w:eastAsia="方正小标宋简体" w:cs="方正小标宋简体"/>
          <w:b w:val="0"/>
          <w:sz w:val="44"/>
          <w:szCs w:val="44"/>
        </w:rPr>
        <w:t>市大面积停电事件应急处置流程图</w:t>
      </w:r>
      <w:bookmarkEnd w:id="182"/>
      <w:bookmarkEnd w:id="183"/>
    </w:p>
    <w:p>
      <w:pPr>
        <w:spacing w:line="560" w:lineRule="exact"/>
        <w:ind w:firstLine="0" w:firstLineChars="0"/>
        <w:rPr>
          <w:rFonts w:ascii="方正小标宋简体" w:eastAsia="方正小标宋简体"/>
          <w:sz w:val="44"/>
          <w:szCs w:val="44"/>
        </w:rPr>
      </w:pPr>
      <w:ins w:id="0" w:author="林立冬" w:date="2023-05-18T14:59:03Z">
        <w:r>
          <w:rPr>
            <w:rFonts w:ascii="方正小标宋简体" w:eastAsia="方正小标宋简体"/>
            <w:sz w:val="44"/>
            <w:szCs w:val="44"/>
          </w:rPr>
          <w:drawing>
            <wp:anchor distT="0" distB="0" distL="114300" distR="114300" simplePos="0" relativeHeight="251661312" behindDoc="0" locked="0" layoutInCell="1" allowOverlap="1">
              <wp:simplePos x="0" y="0"/>
              <wp:positionH relativeFrom="column">
                <wp:posOffset>-421005</wp:posOffset>
              </wp:positionH>
              <wp:positionV relativeFrom="paragraph">
                <wp:posOffset>220980</wp:posOffset>
              </wp:positionV>
              <wp:extent cx="6130290" cy="6568440"/>
              <wp:effectExtent l="0" t="0" r="0" b="0"/>
              <wp:wrapNone/>
              <wp:docPr id="2" name="ECB019B1-382A-4266-B25C-5B523AA43C14-1" descr="C:/Users/Administrator/AppData/Local/Temp/wps.heeEwtwp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ECB019B1-382A-4266-B25C-5B523AA43C14-1" descr="C:/Users/Administrator/AppData/Local/Temp/wps.heeEwtwps"/>
                      <pic:cNvPicPr>
                        <a:picLocks noChangeAspect="true"/>
                      </pic:cNvPicPr>
                    </pic:nvPicPr>
                    <pic:blipFill>
                      <a:blip r:embed="rId11"/>
                      <a:stretch>
                        <a:fillRect/>
                      </a:stretch>
                    </pic:blipFill>
                    <pic:spPr>
                      <a:xfrm>
                        <a:off x="0" y="0"/>
                        <a:ext cx="6130290" cy="6568440"/>
                      </a:xfrm>
                      <a:prstGeom prst="rect">
                        <a:avLst/>
                      </a:prstGeom>
                    </pic:spPr>
                  </pic:pic>
                </a:graphicData>
              </a:graphic>
            </wp:anchor>
          </w:drawing>
        </w:r>
      </w:ins>
    </w:p>
    <w:p>
      <w:pPr>
        <w:spacing w:line="560" w:lineRule="exact"/>
        <w:ind w:firstLine="0" w:firstLineChars="0"/>
        <w:jc w:val="center"/>
        <w:rPr>
          <w:rFonts w:ascii="方正小标宋简体" w:eastAsia="方正小标宋简体"/>
          <w:sz w:val="44"/>
          <w:szCs w:val="44"/>
        </w:rPr>
      </w:pPr>
      <w:bookmarkStart w:id="184" w:name="_GoBack"/>
      <w:bookmarkEnd w:id="184"/>
    </w:p>
    <w:sectPr>
      <w:pgSz w:w="11907" w:h="16840"/>
      <w:pgMar w:top="2098" w:right="1474" w:bottom="1984" w:left="1587" w:header="851" w:footer="1531" w:gutter="0"/>
      <w:cols w:space="720" w:num="1"/>
      <w:titlePg/>
      <w:docGrid w:linePitch="57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ind w:firstLine="360"/>
      <w:jc w:val="right"/>
    </w:pPr>
    <w:r>
      <w:pict>
        <v:shape id="_x0000_s2049" o:spid="_x0000_s2049"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path/>
          <v:fill on="f" focussize="0,0"/>
          <v:stroke on="f" weight="0.5pt" joinstyle="miter"/>
          <v:imagedata o:title=""/>
          <o:lock v:ext="edit"/>
          <v:textbox inset="0mm,0mm,0mm,0mm" style="mso-fit-shape-to-text:t;">
            <w:txbxContent>
              <w:p>
                <w:pPr>
                  <w:pStyle w:val="11"/>
                  <w:ind w:firstLine="360"/>
                  <w:rPr>
                    <w:rFonts w:eastAsia="仿宋"/>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Theme="minorEastAsia" w:hAnsiTheme="minorEastAsia" w:eastAsiaTheme="minorEastAsia" w:cstheme="minorEastAsia"/>
        <w:sz w:val="21"/>
        <w:szCs w:val="21"/>
      </w:rPr>
      <w:id w:val="1141926003"/>
    </w:sdtPr>
    <w:sdtEndPr>
      <w:rPr>
        <w:rFonts w:hint="eastAsia" w:asciiTheme="majorEastAsia" w:hAnsiTheme="majorEastAsia" w:eastAsiaTheme="majorEastAsia" w:cstheme="minorEastAsia"/>
        <w:sz w:val="21"/>
        <w:szCs w:val="21"/>
      </w:rPr>
    </w:sdtEndPr>
    <w:sdtContent>
      <w:p>
        <w:pPr>
          <w:pStyle w:val="11"/>
          <w:ind w:firstLine="360"/>
          <w:jc w:val="center"/>
          <w:rPr>
            <w:rFonts w:asciiTheme="majorEastAsia" w:hAnsiTheme="majorEastAsia" w:eastAsiaTheme="majorEastAsia"/>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PAGE   \* MERGEFORMAT</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lang w:val="zh-CN"/>
          </w:rPr>
          <w:t>2</w:t>
        </w:r>
        <w:r>
          <w:rPr>
            <w:rFonts w:hint="eastAsia" w:asciiTheme="minorEastAsia" w:hAnsiTheme="minorEastAsia" w:eastAsiaTheme="minorEastAsia" w:cstheme="minorEastAsia"/>
            <w:sz w:val="21"/>
            <w:szCs w:val="21"/>
          </w:rPr>
          <w:fldChar w:fldCharType="end"/>
        </w:r>
      </w:p>
    </w:sdtContent>
  </w:sdt>
  <w:p>
    <w:pPr>
      <w:pStyle w:val="11"/>
      <w:wordWrap w:val="0"/>
      <w:ind w:firstLine="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284" w:firstLine="560"/>
      <w:jc w:val="right"/>
      <w:rPr>
        <w:rFonts w:ascii="宋体" w:hAnsi="宋体" w:eastAsia="宋体"/>
        <w:sz w:val="28"/>
      </w:rPr>
    </w:pPr>
    <w:r>
      <w:rPr>
        <w:sz w:val="28"/>
      </w:rPr>
      <w:pict>
        <v:shape id="_x0000_s2054" o:spid="_x0000_s2054"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11"/>
                  <w:ind w:firstLine="36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44</w:t>
                </w:r>
                <w:r>
                  <w:rPr>
                    <w:rFonts w:hint="eastAsia" w:asciiTheme="minorEastAsia" w:hAnsiTheme="minorEastAsia" w:eastAsiaTheme="minorEastAsia" w:cstheme="minorEastAsia"/>
                    <w:sz w:val="21"/>
                    <w:szCs w:val="21"/>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pPr>
                  <w:pStyle w:val="11"/>
                  <w:ind w:firstLine="36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39</w:t>
                </w:r>
                <w:r>
                  <w:rPr>
                    <w:rFonts w:hint="eastAsia" w:asciiTheme="minorEastAsia" w:hAnsiTheme="minorEastAsia" w:eastAsiaTheme="minorEastAsia" w:cstheme="minorEastAsia"/>
                    <w:sz w:val="21"/>
                    <w:szCs w:val="21"/>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ind w:firstLine="360"/>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林立冬">
    <w15:presenceInfo w15:providerId="WPS Office" w15:userId="9478644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58"/>
  <w:drawingGridVerticalSpacing w:val="579"/>
  <w:displayHorizontalDrawingGridEvery w:val="1"/>
  <w:displayVerticalDrawingGridEvery w:val="1"/>
  <w:noPunctuationKerning w:val="true"/>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ZjZmI1ZWNjMmUwNTNjZDVjMWYzM2RlYTMzYjQ2MTAifQ=="/>
  </w:docVars>
  <w:rsids>
    <w:rsidRoot w:val="00172A27"/>
    <w:rsid w:val="00007407"/>
    <w:rsid w:val="000373A6"/>
    <w:rsid w:val="00071D45"/>
    <w:rsid w:val="00095A0B"/>
    <w:rsid w:val="00095BE5"/>
    <w:rsid w:val="000C49AC"/>
    <w:rsid w:val="000C6699"/>
    <w:rsid w:val="000F2056"/>
    <w:rsid w:val="000F56FF"/>
    <w:rsid w:val="00110AE3"/>
    <w:rsid w:val="00112E33"/>
    <w:rsid w:val="00125AC6"/>
    <w:rsid w:val="00134EF9"/>
    <w:rsid w:val="00153032"/>
    <w:rsid w:val="00161743"/>
    <w:rsid w:val="001719B1"/>
    <w:rsid w:val="00172A27"/>
    <w:rsid w:val="001824B7"/>
    <w:rsid w:val="00190B84"/>
    <w:rsid w:val="002059C0"/>
    <w:rsid w:val="002140B0"/>
    <w:rsid w:val="00216EE2"/>
    <w:rsid w:val="002361A9"/>
    <w:rsid w:val="00254D9D"/>
    <w:rsid w:val="00284F7D"/>
    <w:rsid w:val="002A4898"/>
    <w:rsid w:val="002A7B93"/>
    <w:rsid w:val="002D0EE2"/>
    <w:rsid w:val="002D57F7"/>
    <w:rsid w:val="002F0F90"/>
    <w:rsid w:val="003023E3"/>
    <w:rsid w:val="00303D1D"/>
    <w:rsid w:val="00312AA5"/>
    <w:rsid w:val="0031334D"/>
    <w:rsid w:val="00321A3D"/>
    <w:rsid w:val="00332F15"/>
    <w:rsid w:val="00351418"/>
    <w:rsid w:val="00355D38"/>
    <w:rsid w:val="003A414E"/>
    <w:rsid w:val="003A76F3"/>
    <w:rsid w:val="003B784D"/>
    <w:rsid w:val="003C0F8D"/>
    <w:rsid w:val="003D47BF"/>
    <w:rsid w:val="00401257"/>
    <w:rsid w:val="0042424A"/>
    <w:rsid w:val="00431B83"/>
    <w:rsid w:val="004372F1"/>
    <w:rsid w:val="00442DF4"/>
    <w:rsid w:val="00443784"/>
    <w:rsid w:val="00484995"/>
    <w:rsid w:val="00486403"/>
    <w:rsid w:val="00487474"/>
    <w:rsid w:val="00492E6A"/>
    <w:rsid w:val="004B6F67"/>
    <w:rsid w:val="004C3E23"/>
    <w:rsid w:val="00506AF6"/>
    <w:rsid w:val="00523867"/>
    <w:rsid w:val="00524CAB"/>
    <w:rsid w:val="00526DFA"/>
    <w:rsid w:val="005523EA"/>
    <w:rsid w:val="00574735"/>
    <w:rsid w:val="005813E8"/>
    <w:rsid w:val="005A1748"/>
    <w:rsid w:val="005E31C7"/>
    <w:rsid w:val="005E6556"/>
    <w:rsid w:val="006052EB"/>
    <w:rsid w:val="00623353"/>
    <w:rsid w:val="0062338B"/>
    <w:rsid w:val="006634C4"/>
    <w:rsid w:val="00671073"/>
    <w:rsid w:val="0067535A"/>
    <w:rsid w:val="00676163"/>
    <w:rsid w:val="00683029"/>
    <w:rsid w:val="00685D96"/>
    <w:rsid w:val="006A569F"/>
    <w:rsid w:val="006C7D10"/>
    <w:rsid w:val="006E6E94"/>
    <w:rsid w:val="006F34FF"/>
    <w:rsid w:val="006F63B1"/>
    <w:rsid w:val="006F7C6B"/>
    <w:rsid w:val="00724547"/>
    <w:rsid w:val="00742845"/>
    <w:rsid w:val="00743B02"/>
    <w:rsid w:val="0078331C"/>
    <w:rsid w:val="00786CB2"/>
    <w:rsid w:val="007924F0"/>
    <w:rsid w:val="007948E8"/>
    <w:rsid w:val="007949AC"/>
    <w:rsid w:val="007A3D57"/>
    <w:rsid w:val="007F34A6"/>
    <w:rsid w:val="008032C6"/>
    <w:rsid w:val="00825582"/>
    <w:rsid w:val="00830735"/>
    <w:rsid w:val="008319ED"/>
    <w:rsid w:val="00837BFE"/>
    <w:rsid w:val="00872AA9"/>
    <w:rsid w:val="00922704"/>
    <w:rsid w:val="00940335"/>
    <w:rsid w:val="0096044B"/>
    <w:rsid w:val="009834DE"/>
    <w:rsid w:val="00995C54"/>
    <w:rsid w:val="009B016E"/>
    <w:rsid w:val="009B6245"/>
    <w:rsid w:val="009B71FC"/>
    <w:rsid w:val="009C5D8E"/>
    <w:rsid w:val="009C64B9"/>
    <w:rsid w:val="009F69B2"/>
    <w:rsid w:val="00A101CE"/>
    <w:rsid w:val="00A11265"/>
    <w:rsid w:val="00A312AF"/>
    <w:rsid w:val="00A472C7"/>
    <w:rsid w:val="00A47CD5"/>
    <w:rsid w:val="00A52C4E"/>
    <w:rsid w:val="00A9679C"/>
    <w:rsid w:val="00AA1122"/>
    <w:rsid w:val="00AA2E24"/>
    <w:rsid w:val="00AC784C"/>
    <w:rsid w:val="00AE4DD4"/>
    <w:rsid w:val="00B018BB"/>
    <w:rsid w:val="00B057B8"/>
    <w:rsid w:val="00B07C16"/>
    <w:rsid w:val="00B275D3"/>
    <w:rsid w:val="00B41D2D"/>
    <w:rsid w:val="00B555F9"/>
    <w:rsid w:val="00B706CF"/>
    <w:rsid w:val="00B85321"/>
    <w:rsid w:val="00BA71CD"/>
    <w:rsid w:val="00BB1C28"/>
    <w:rsid w:val="00BB30D8"/>
    <w:rsid w:val="00BC7751"/>
    <w:rsid w:val="00BD029A"/>
    <w:rsid w:val="00BD560F"/>
    <w:rsid w:val="00BE019D"/>
    <w:rsid w:val="00BE0F23"/>
    <w:rsid w:val="00BF6449"/>
    <w:rsid w:val="00C1074B"/>
    <w:rsid w:val="00C43201"/>
    <w:rsid w:val="00C52086"/>
    <w:rsid w:val="00C56713"/>
    <w:rsid w:val="00C61F7D"/>
    <w:rsid w:val="00C654E6"/>
    <w:rsid w:val="00C830E5"/>
    <w:rsid w:val="00C85326"/>
    <w:rsid w:val="00CE75AD"/>
    <w:rsid w:val="00CF1E60"/>
    <w:rsid w:val="00CF425C"/>
    <w:rsid w:val="00D06E9B"/>
    <w:rsid w:val="00D517D6"/>
    <w:rsid w:val="00D72BC2"/>
    <w:rsid w:val="00D92B2C"/>
    <w:rsid w:val="00D94759"/>
    <w:rsid w:val="00D94FBD"/>
    <w:rsid w:val="00DA03C6"/>
    <w:rsid w:val="00DC069C"/>
    <w:rsid w:val="00DE0B94"/>
    <w:rsid w:val="00DF06ED"/>
    <w:rsid w:val="00E02B2D"/>
    <w:rsid w:val="00E101A0"/>
    <w:rsid w:val="00E203B4"/>
    <w:rsid w:val="00E318D9"/>
    <w:rsid w:val="00E33D22"/>
    <w:rsid w:val="00E50017"/>
    <w:rsid w:val="00E75202"/>
    <w:rsid w:val="00E76431"/>
    <w:rsid w:val="00E86BA0"/>
    <w:rsid w:val="00E86ED8"/>
    <w:rsid w:val="00EC1565"/>
    <w:rsid w:val="00EC6B82"/>
    <w:rsid w:val="00ED21D0"/>
    <w:rsid w:val="00EE2180"/>
    <w:rsid w:val="00F013A0"/>
    <w:rsid w:val="00F05149"/>
    <w:rsid w:val="00F065CB"/>
    <w:rsid w:val="00F43F50"/>
    <w:rsid w:val="00F545EF"/>
    <w:rsid w:val="00F554A8"/>
    <w:rsid w:val="00F660D4"/>
    <w:rsid w:val="00F7012F"/>
    <w:rsid w:val="00F73158"/>
    <w:rsid w:val="00FA7608"/>
    <w:rsid w:val="00FB4838"/>
    <w:rsid w:val="00FE101F"/>
    <w:rsid w:val="00FF510C"/>
    <w:rsid w:val="01194957"/>
    <w:rsid w:val="011E4821"/>
    <w:rsid w:val="013E3270"/>
    <w:rsid w:val="01537A7F"/>
    <w:rsid w:val="019D3E1B"/>
    <w:rsid w:val="01B77C82"/>
    <w:rsid w:val="01BD566C"/>
    <w:rsid w:val="02020D15"/>
    <w:rsid w:val="02146DB4"/>
    <w:rsid w:val="023E0FCF"/>
    <w:rsid w:val="025338C9"/>
    <w:rsid w:val="025F2D90"/>
    <w:rsid w:val="028A2DB1"/>
    <w:rsid w:val="02A23596"/>
    <w:rsid w:val="02AF4D05"/>
    <w:rsid w:val="02BF0880"/>
    <w:rsid w:val="030F137D"/>
    <w:rsid w:val="032A68D8"/>
    <w:rsid w:val="032B2628"/>
    <w:rsid w:val="03535D9C"/>
    <w:rsid w:val="036A689D"/>
    <w:rsid w:val="036D29E2"/>
    <w:rsid w:val="036F1E52"/>
    <w:rsid w:val="037E487C"/>
    <w:rsid w:val="03A37CFF"/>
    <w:rsid w:val="03A43010"/>
    <w:rsid w:val="040A55E7"/>
    <w:rsid w:val="04292A3A"/>
    <w:rsid w:val="043C0167"/>
    <w:rsid w:val="046D7B6D"/>
    <w:rsid w:val="049001CD"/>
    <w:rsid w:val="049A3979"/>
    <w:rsid w:val="049A4D53"/>
    <w:rsid w:val="04B13E07"/>
    <w:rsid w:val="04EA7E7B"/>
    <w:rsid w:val="05044B51"/>
    <w:rsid w:val="05175940"/>
    <w:rsid w:val="051D1605"/>
    <w:rsid w:val="05494817"/>
    <w:rsid w:val="054D6934"/>
    <w:rsid w:val="055A0EAC"/>
    <w:rsid w:val="05A5667F"/>
    <w:rsid w:val="05AE392C"/>
    <w:rsid w:val="05BC1D54"/>
    <w:rsid w:val="05CE5F37"/>
    <w:rsid w:val="05CF5DEF"/>
    <w:rsid w:val="05D72EF4"/>
    <w:rsid w:val="05DB3170"/>
    <w:rsid w:val="060E63C1"/>
    <w:rsid w:val="06120B81"/>
    <w:rsid w:val="063F665D"/>
    <w:rsid w:val="06432DBC"/>
    <w:rsid w:val="06466D2E"/>
    <w:rsid w:val="06484CEA"/>
    <w:rsid w:val="065314C1"/>
    <w:rsid w:val="06533D76"/>
    <w:rsid w:val="06555C47"/>
    <w:rsid w:val="06711E4A"/>
    <w:rsid w:val="06736641"/>
    <w:rsid w:val="06891084"/>
    <w:rsid w:val="06912D7D"/>
    <w:rsid w:val="06B2738C"/>
    <w:rsid w:val="06F7744D"/>
    <w:rsid w:val="07045A57"/>
    <w:rsid w:val="070B72C4"/>
    <w:rsid w:val="070E6130"/>
    <w:rsid w:val="07337DF7"/>
    <w:rsid w:val="07415BD0"/>
    <w:rsid w:val="07425733"/>
    <w:rsid w:val="07505F52"/>
    <w:rsid w:val="07591E97"/>
    <w:rsid w:val="078C4681"/>
    <w:rsid w:val="07927733"/>
    <w:rsid w:val="07A12421"/>
    <w:rsid w:val="07A8499A"/>
    <w:rsid w:val="07BC58A1"/>
    <w:rsid w:val="07CB3D07"/>
    <w:rsid w:val="07D851B3"/>
    <w:rsid w:val="07E53616"/>
    <w:rsid w:val="07EE118D"/>
    <w:rsid w:val="082C135C"/>
    <w:rsid w:val="083726FE"/>
    <w:rsid w:val="08412FB2"/>
    <w:rsid w:val="08B057E4"/>
    <w:rsid w:val="08CA69F8"/>
    <w:rsid w:val="08DA2D3A"/>
    <w:rsid w:val="09092F2B"/>
    <w:rsid w:val="09175838"/>
    <w:rsid w:val="09523825"/>
    <w:rsid w:val="09883858"/>
    <w:rsid w:val="09A80356"/>
    <w:rsid w:val="09CD417C"/>
    <w:rsid w:val="09D61F4F"/>
    <w:rsid w:val="09DF046B"/>
    <w:rsid w:val="09E36FB4"/>
    <w:rsid w:val="09F712DC"/>
    <w:rsid w:val="0A2167CF"/>
    <w:rsid w:val="0A4105E4"/>
    <w:rsid w:val="0A46254E"/>
    <w:rsid w:val="0A5203F3"/>
    <w:rsid w:val="0A5F71A3"/>
    <w:rsid w:val="0A654126"/>
    <w:rsid w:val="0A81447E"/>
    <w:rsid w:val="0A8C3830"/>
    <w:rsid w:val="0A9F14F6"/>
    <w:rsid w:val="0AA0572C"/>
    <w:rsid w:val="0AB405BF"/>
    <w:rsid w:val="0B082ED3"/>
    <w:rsid w:val="0B220B53"/>
    <w:rsid w:val="0B465225"/>
    <w:rsid w:val="0B4B62FA"/>
    <w:rsid w:val="0B572E41"/>
    <w:rsid w:val="0B5B11D9"/>
    <w:rsid w:val="0B6E37FD"/>
    <w:rsid w:val="0B835918"/>
    <w:rsid w:val="0B9011B7"/>
    <w:rsid w:val="0B99467F"/>
    <w:rsid w:val="0B9B7104"/>
    <w:rsid w:val="0B9F649A"/>
    <w:rsid w:val="0BAB3225"/>
    <w:rsid w:val="0BC32CD6"/>
    <w:rsid w:val="0BE933BB"/>
    <w:rsid w:val="0C1E2533"/>
    <w:rsid w:val="0C4345C6"/>
    <w:rsid w:val="0C45449A"/>
    <w:rsid w:val="0C5D5BCD"/>
    <w:rsid w:val="0C6E55A5"/>
    <w:rsid w:val="0CC167AC"/>
    <w:rsid w:val="0CD156C4"/>
    <w:rsid w:val="0CE60425"/>
    <w:rsid w:val="0D0A24A3"/>
    <w:rsid w:val="0D0A3EA9"/>
    <w:rsid w:val="0D0B4630"/>
    <w:rsid w:val="0D1E3C39"/>
    <w:rsid w:val="0D1F6A31"/>
    <w:rsid w:val="0D2171C7"/>
    <w:rsid w:val="0D3371D2"/>
    <w:rsid w:val="0D6111E0"/>
    <w:rsid w:val="0DD37523"/>
    <w:rsid w:val="0DE613B4"/>
    <w:rsid w:val="0E11448A"/>
    <w:rsid w:val="0E1620CB"/>
    <w:rsid w:val="0E1B3077"/>
    <w:rsid w:val="0E274722"/>
    <w:rsid w:val="0EB418F4"/>
    <w:rsid w:val="0ECF242B"/>
    <w:rsid w:val="0ED97BD3"/>
    <w:rsid w:val="0F015B1B"/>
    <w:rsid w:val="0F0D7B4E"/>
    <w:rsid w:val="0F7248BD"/>
    <w:rsid w:val="0FB27320"/>
    <w:rsid w:val="0FC76184"/>
    <w:rsid w:val="0FC94E58"/>
    <w:rsid w:val="0FE45A04"/>
    <w:rsid w:val="0FEB4E54"/>
    <w:rsid w:val="0FFA1930"/>
    <w:rsid w:val="102166CA"/>
    <w:rsid w:val="1075616A"/>
    <w:rsid w:val="107B221E"/>
    <w:rsid w:val="10D70387"/>
    <w:rsid w:val="10F5106E"/>
    <w:rsid w:val="10F77AC6"/>
    <w:rsid w:val="11001E4D"/>
    <w:rsid w:val="111C1AB2"/>
    <w:rsid w:val="1124426B"/>
    <w:rsid w:val="112B30C6"/>
    <w:rsid w:val="11436A6C"/>
    <w:rsid w:val="115646F6"/>
    <w:rsid w:val="11564B24"/>
    <w:rsid w:val="115F615C"/>
    <w:rsid w:val="118E3CB5"/>
    <w:rsid w:val="11913CC6"/>
    <w:rsid w:val="1196014D"/>
    <w:rsid w:val="11AF5CB0"/>
    <w:rsid w:val="12082976"/>
    <w:rsid w:val="1253338A"/>
    <w:rsid w:val="126F3F8A"/>
    <w:rsid w:val="12B35F37"/>
    <w:rsid w:val="12B94B4D"/>
    <w:rsid w:val="12F64DC0"/>
    <w:rsid w:val="13175978"/>
    <w:rsid w:val="13392AF0"/>
    <w:rsid w:val="13705939"/>
    <w:rsid w:val="137813E1"/>
    <w:rsid w:val="138454B4"/>
    <w:rsid w:val="13A21D56"/>
    <w:rsid w:val="13A633EF"/>
    <w:rsid w:val="13C20EF5"/>
    <w:rsid w:val="13C776B3"/>
    <w:rsid w:val="13D0542F"/>
    <w:rsid w:val="13FD3410"/>
    <w:rsid w:val="143A1123"/>
    <w:rsid w:val="144F07C1"/>
    <w:rsid w:val="14691995"/>
    <w:rsid w:val="14714B22"/>
    <w:rsid w:val="148A7740"/>
    <w:rsid w:val="14C75746"/>
    <w:rsid w:val="151A741F"/>
    <w:rsid w:val="153622AD"/>
    <w:rsid w:val="153F1C22"/>
    <w:rsid w:val="153F66DF"/>
    <w:rsid w:val="155A2A1B"/>
    <w:rsid w:val="15B40220"/>
    <w:rsid w:val="15BE54D4"/>
    <w:rsid w:val="15C56B20"/>
    <w:rsid w:val="15D8723A"/>
    <w:rsid w:val="15DE0ABE"/>
    <w:rsid w:val="16020BBB"/>
    <w:rsid w:val="163067E5"/>
    <w:rsid w:val="16310120"/>
    <w:rsid w:val="16312227"/>
    <w:rsid w:val="163E4D4B"/>
    <w:rsid w:val="1664191F"/>
    <w:rsid w:val="166A43B3"/>
    <w:rsid w:val="166C2AE0"/>
    <w:rsid w:val="16795507"/>
    <w:rsid w:val="16951260"/>
    <w:rsid w:val="16A41BA7"/>
    <w:rsid w:val="16C26B68"/>
    <w:rsid w:val="16D00368"/>
    <w:rsid w:val="16E64FD9"/>
    <w:rsid w:val="16EB450D"/>
    <w:rsid w:val="16F11BE8"/>
    <w:rsid w:val="172A0106"/>
    <w:rsid w:val="175D44B5"/>
    <w:rsid w:val="17A04693"/>
    <w:rsid w:val="17A87516"/>
    <w:rsid w:val="1811607A"/>
    <w:rsid w:val="181F04B8"/>
    <w:rsid w:val="182F0A6B"/>
    <w:rsid w:val="182F3271"/>
    <w:rsid w:val="183901D4"/>
    <w:rsid w:val="184959F6"/>
    <w:rsid w:val="18786A17"/>
    <w:rsid w:val="18B3452B"/>
    <w:rsid w:val="18B9227A"/>
    <w:rsid w:val="18EC300B"/>
    <w:rsid w:val="18EF0585"/>
    <w:rsid w:val="190704D6"/>
    <w:rsid w:val="191D26FA"/>
    <w:rsid w:val="19490BB5"/>
    <w:rsid w:val="197B5081"/>
    <w:rsid w:val="198A72C4"/>
    <w:rsid w:val="199D22A2"/>
    <w:rsid w:val="19AA2EBA"/>
    <w:rsid w:val="19B87CF2"/>
    <w:rsid w:val="19C71FBA"/>
    <w:rsid w:val="19E86E5A"/>
    <w:rsid w:val="19FF25DC"/>
    <w:rsid w:val="1A000BCC"/>
    <w:rsid w:val="1A0A2407"/>
    <w:rsid w:val="1A2107BA"/>
    <w:rsid w:val="1A2B0ABA"/>
    <w:rsid w:val="1A3654E1"/>
    <w:rsid w:val="1A5E7B69"/>
    <w:rsid w:val="1A5F6AF3"/>
    <w:rsid w:val="1A667162"/>
    <w:rsid w:val="1A8D13E1"/>
    <w:rsid w:val="1AAC7B0A"/>
    <w:rsid w:val="1AF5321D"/>
    <w:rsid w:val="1B0828F4"/>
    <w:rsid w:val="1B1D2ED3"/>
    <w:rsid w:val="1B266D23"/>
    <w:rsid w:val="1B9256D8"/>
    <w:rsid w:val="1BA625D7"/>
    <w:rsid w:val="1BA8569B"/>
    <w:rsid w:val="1BB05351"/>
    <w:rsid w:val="1BB76586"/>
    <w:rsid w:val="1BBA7ED4"/>
    <w:rsid w:val="1C017685"/>
    <w:rsid w:val="1C22505C"/>
    <w:rsid w:val="1C9571A6"/>
    <w:rsid w:val="1CB07A9A"/>
    <w:rsid w:val="1CC33C7A"/>
    <w:rsid w:val="1CD510FA"/>
    <w:rsid w:val="1CE04DFF"/>
    <w:rsid w:val="1D177FAC"/>
    <w:rsid w:val="1D660B43"/>
    <w:rsid w:val="1D865A91"/>
    <w:rsid w:val="1D8E013D"/>
    <w:rsid w:val="1D8E556D"/>
    <w:rsid w:val="1DBC0260"/>
    <w:rsid w:val="1DCA7250"/>
    <w:rsid w:val="1DCB2BCC"/>
    <w:rsid w:val="1DF15DEC"/>
    <w:rsid w:val="1E214B02"/>
    <w:rsid w:val="1E2805E0"/>
    <w:rsid w:val="1E357C1D"/>
    <w:rsid w:val="1E7335D2"/>
    <w:rsid w:val="1E966D20"/>
    <w:rsid w:val="1EB61D07"/>
    <w:rsid w:val="1EE711E4"/>
    <w:rsid w:val="1EE8741D"/>
    <w:rsid w:val="1F093A76"/>
    <w:rsid w:val="1F182999"/>
    <w:rsid w:val="1F1D4AE8"/>
    <w:rsid w:val="1F325180"/>
    <w:rsid w:val="1F3C7605"/>
    <w:rsid w:val="1F4E3CCB"/>
    <w:rsid w:val="1F726102"/>
    <w:rsid w:val="1F7EFA5E"/>
    <w:rsid w:val="1F9723D5"/>
    <w:rsid w:val="1FB71D8D"/>
    <w:rsid w:val="1FB7370E"/>
    <w:rsid w:val="1FBB5600"/>
    <w:rsid w:val="1FD4300E"/>
    <w:rsid w:val="203E53FA"/>
    <w:rsid w:val="203F0B38"/>
    <w:rsid w:val="20480894"/>
    <w:rsid w:val="204C166E"/>
    <w:rsid w:val="205A710E"/>
    <w:rsid w:val="2063720E"/>
    <w:rsid w:val="2090557F"/>
    <w:rsid w:val="20A02A07"/>
    <w:rsid w:val="21084EF4"/>
    <w:rsid w:val="211A07A4"/>
    <w:rsid w:val="212678E0"/>
    <w:rsid w:val="212E5E3D"/>
    <w:rsid w:val="21604B3E"/>
    <w:rsid w:val="216C4BCC"/>
    <w:rsid w:val="219422FE"/>
    <w:rsid w:val="21A60D0A"/>
    <w:rsid w:val="21BC7EF3"/>
    <w:rsid w:val="21E9592D"/>
    <w:rsid w:val="21F44D36"/>
    <w:rsid w:val="222E24CD"/>
    <w:rsid w:val="224D51AB"/>
    <w:rsid w:val="2288069D"/>
    <w:rsid w:val="22B85B03"/>
    <w:rsid w:val="22B95C81"/>
    <w:rsid w:val="22D04589"/>
    <w:rsid w:val="22DF5FEC"/>
    <w:rsid w:val="22F666AB"/>
    <w:rsid w:val="231D549C"/>
    <w:rsid w:val="23247F10"/>
    <w:rsid w:val="234156B2"/>
    <w:rsid w:val="235D0313"/>
    <w:rsid w:val="238315AC"/>
    <w:rsid w:val="23960958"/>
    <w:rsid w:val="23AC5A84"/>
    <w:rsid w:val="23AD6F39"/>
    <w:rsid w:val="23E4486C"/>
    <w:rsid w:val="23F95837"/>
    <w:rsid w:val="23FB0B01"/>
    <w:rsid w:val="241525AD"/>
    <w:rsid w:val="244C7264"/>
    <w:rsid w:val="24647EF8"/>
    <w:rsid w:val="248D1EAB"/>
    <w:rsid w:val="249833C3"/>
    <w:rsid w:val="24A9143E"/>
    <w:rsid w:val="24CC6D96"/>
    <w:rsid w:val="24D02D60"/>
    <w:rsid w:val="251D43CA"/>
    <w:rsid w:val="25434DFE"/>
    <w:rsid w:val="257578D1"/>
    <w:rsid w:val="259C2948"/>
    <w:rsid w:val="259D6224"/>
    <w:rsid w:val="25C73463"/>
    <w:rsid w:val="25CF080C"/>
    <w:rsid w:val="25DD5FFA"/>
    <w:rsid w:val="25FD44B0"/>
    <w:rsid w:val="26023C8F"/>
    <w:rsid w:val="26210EEA"/>
    <w:rsid w:val="262C610F"/>
    <w:rsid w:val="262D109E"/>
    <w:rsid w:val="264D6BCF"/>
    <w:rsid w:val="26512967"/>
    <w:rsid w:val="2665165D"/>
    <w:rsid w:val="266C7B69"/>
    <w:rsid w:val="268C7C50"/>
    <w:rsid w:val="26DC67E8"/>
    <w:rsid w:val="26F4494B"/>
    <w:rsid w:val="26F97616"/>
    <w:rsid w:val="2728661D"/>
    <w:rsid w:val="27486456"/>
    <w:rsid w:val="274C03C0"/>
    <w:rsid w:val="275E2F28"/>
    <w:rsid w:val="2764686F"/>
    <w:rsid w:val="2765655D"/>
    <w:rsid w:val="276F5D05"/>
    <w:rsid w:val="2780786F"/>
    <w:rsid w:val="278F3A8E"/>
    <w:rsid w:val="27B418D8"/>
    <w:rsid w:val="27B920F8"/>
    <w:rsid w:val="27DE158D"/>
    <w:rsid w:val="27E11A96"/>
    <w:rsid w:val="28212ADB"/>
    <w:rsid w:val="282C64E4"/>
    <w:rsid w:val="283C5A0E"/>
    <w:rsid w:val="2878439C"/>
    <w:rsid w:val="28BA62D3"/>
    <w:rsid w:val="28BB3953"/>
    <w:rsid w:val="28C57602"/>
    <w:rsid w:val="28F429CE"/>
    <w:rsid w:val="28FF14FF"/>
    <w:rsid w:val="292A38C2"/>
    <w:rsid w:val="295A5A88"/>
    <w:rsid w:val="297C228F"/>
    <w:rsid w:val="297F0BC6"/>
    <w:rsid w:val="29A654C5"/>
    <w:rsid w:val="29E34E10"/>
    <w:rsid w:val="2A1858B9"/>
    <w:rsid w:val="2A7276D5"/>
    <w:rsid w:val="2B0E0EFC"/>
    <w:rsid w:val="2B296551"/>
    <w:rsid w:val="2B3D5433"/>
    <w:rsid w:val="2B5C2635"/>
    <w:rsid w:val="2B5E2458"/>
    <w:rsid w:val="2B645980"/>
    <w:rsid w:val="2B6819BE"/>
    <w:rsid w:val="2B6B77B0"/>
    <w:rsid w:val="2B7B4630"/>
    <w:rsid w:val="2B9D57B0"/>
    <w:rsid w:val="2BC92FC3"/>
    <w:rsid w:val="2C042247"/>
    <w:rsid w:val="2C2C5599"/>
    <w:rsid w:val="2C44611E"/>
    <w:rsid w:val="2C672530"/>
    <w:rsid w:val="2C715E4E"/>
    <w:rsid w:val="2C7D0AC9"/>
    <w:rsid w:val="2C911ACF"/>
    <w:rsid w:val="2CA33514"/>
    <w:rsid w:val="2CC1536C"/>
    <w:rsid w:val="2CC553B7"/>
    <w:rsid w:val="2CF24173"/>
    <w:rsid w:val="2D05308E"/>
    <w:rsid w:val="2D074ED9"/>
    <w:rsid w:val="2D2B3837"/>
    <w:rsid w:val="2D4665FB"/>
    <w:rsid w:val="2D4D47E7"/>
    <w:rsid w:val="2D987211"/>
    <w:rsid w:val="2DDB7424"/>
    <w:rsid w:val="2DE41D28"/>
    <w:rsid w:val="2DEB46FA"/>
    <w:rsid w:val="2DF14FC4"/>
    <w:rsid w:val="2DFA5F14"/>
    <w:rsid w:val="2DFC7518"/>
    <w:rsid w:val="2E062092"/>
    <w:rsid w:val="2E2238D4"/>
    <w:rsid w:val="2E574754"/>
    <w:rsid w:val="2E59211C"/>
    <w:rsid w:val="2E772963"/>
    <w:rsid w:val="2E8C3B90"/>
    <w:rsid w:val="2E976CB1"/>
    <w:rsid w:val="2E9953B2"/>
    <w:rsid w:val="2E9B6A6F"/>
    <w:rsid w:val="2EA40869"/>
    <w:rsid w:val="2EC976D2"/>
    <w:rsid w:val="2EEC26F3"/>
    <w:rsid w:val="2EEE15CC"/>
    <w:rsid w:val="2F1823C6"/>
    <w:rsid w:val="2F2262B4"/>
    <w:rsid w:val="2F2B0EC0"/>
    <w:rsid w:val="2F2D4B79"/>
    <w:rsid w:val="2F345DE0"/>
    <w:rsid w:val="2F3C1D27"/>
    <w:rsid w:val="2F4E49AA"/>
    <w:rsid w:val="2F6E00A3"/>
    <w:rsid w:val="2FDA6D99"/>
    <w:rsid w:val="2FDB66AF"/>
    <w:rsid w:val="2FE47BD3"/>
    <w:rsid w:val="2FFD547B"/>
    <w:rsid w:val="2FFFC56A"/>
    <w:rsid w:val="3012499A"/>
    <w:rsid w:val="30126A43"/>
    <w:rsid w:val="307F655C"/>
    <w:rsid w:val="3089060D"/>
    <w:rsid w:val="309C0901"/>
    <w:rsid w:val="309C1508"/>
    <w:rsid w:val="30BE3A7A"/>
    <w:rsid w:val="30DB6CD8"/>
    <w:rsid w:val="31553509"/>
    <w:rsid w:val="31642176"/>
    <w:rsid w:val="318435F7"/>
    <w:rsid w:val="318B3344"/>
    <w:rsid w:val="319A6F79"/>
    <w:rsid w:val="31A756C8"/>
    <w:rsid w:val="31B434D5"/>
    <w:rsid w:val="31CC579E"/>
    <w:rsid w:val="31E61B72"/>
    <w:rsid w:val="31F20BCE"/>
    <w:rsid w:val="320B541D"/>
    <w:rsid w:val="323C2262"/>
    <w:rsid w:val="323E2A29"/>
    <w:rsid w:val="327B6AAE"/>
    <w:rsid w:val="328517AD"/>
    <w:rsid w:val="32867F93"/>
    <w:rsid w:val="32997FE8"/>
    <w:rsid w:val="32BE4731"/>
    <w:rsid w:val="32D36A2E"/>
    <w:rsid w:val="330942E3"/>
    <w:rsid w:val="33117A3F"/>
    <w:rsid w:val="3323305A"/>
    <w:rsid w:val="334072CA"/>
    <w:rsid w:val="334415CF"/>
    <w:rsid w:val="33494492"/>
    <w:rsid w:val="334A51A9"/>
    <w:rsid w:val="334C492F"/>
    <w:rsid w:val="33786D3B"/>
    <w:rsid w:val="338070FB"/>
    <w:rsid w:val="339C0DEA"/>
    <w:rsid w:val="33A909CF"/>
    <w:rsid w:val="33B70561"/>
    <w:rsid w:val="33C33867"/>
    <w:rsid w:val="33DA2B59"/>
    <w:rsid w:val="33E934FC"/>
    <w:rsid w:val="33EF014E"/>
    <w:rsid w:val="34077929"/>
    <w:rsid w:val="341673C3"/>
    <w:rsid w:val="34390954"/>
    <w:rsid w:val="34554AF3"/>
    <w:rsid w:val="34773FB3"/>
    <w:rsid w:val="34893DFF"/>
    <w:rsid w:val="34931258"/>
    <w:rsid w:val="34A30BBE"/>
    <w:rsid w:val="34B53FB7"/>
    <w:rsid w:val="34D1B7DE"/>
    <w:rsid w:val="34E66B47"/>
    <w:rsid w:val="358F71DA"/>
    <w:rsid w:val="359A35FB"/>
    <w:rsid w:val="35A52657"/>
    <w:rsid w:val="35A75D66"/>
    <w:rsid w:val="35B0478B"/>
    <w:rsid w:val="36090B6D"/>
    <w:rsid w:val="361C6710"/>
    <w:rsid w:val="363607CC"/>
    <w:rsid w:val="36401744"/>
    <w:rsid w:val="365143BA"/>
    <w:rsid w:val="3652551B"/>
    <w:rsid w:val="36525F12"/>
    <w:rsid w:val="36531DA1"/>
    <w:rsid w:val="365635C2"/>
    <w:rsid w:val="367E24D5"/>
    <w:rsid w:val="367F1291"/>
    <w:rsid w:val="36B34898"/>
    <w:rsid w:val="36B458DE"/>
    <w:rsid w:val="36B94E23"/>
    <w:rsid w:val="36CB75E2"/>
    <w:rsid w:val="36FC0E6F"/>
    <w:rsid w:val="372C3D09"/>
    <w:rsid w:val="375127A8"/>
    <w:rsid w:val="377068F2"/>
    <w:rsid w:val="37AA0B00"/>
    <w:rsid w:val="37B959B1"/>
    <w:rsid w:val="38063AC1"/>
    <w:rsid w:val="38096244"/>
    <w:rsid w:val="380F3C12"/>
    <w:rsid w:val="381952FA"/>
    <w:rsid w:val="38245B54"/>
    <w:rsid w:val="3827746B"/>
    <w:rsid w:val="383A2EC7"/>
    <w:rsid w:val="38401327"/>
    <w:rsid w:val="38540CAE"/>
    <w:rsid w:val="38652E80"/>
    <w:rsid w:val="3878330F"/>
    <w:rsid w:val="387F693A"/>
    <w:rsid w:val="38833728"/>
    <w:rsid w:val="3892422C"/>
    <w:rsid w:val="38B24523"/>
    <w:rsid w:val="38BD607D"/>
    <w:rsid w:val="38F26272"/>
    <w:rsid w:val="39276710"/>
    <w:rsid w:val="393C7078"/>
    <w:rsid w:val="39766ED1"/>
    <w:rsid w:val="39BBB9BC"/>
    <w:rsid w:val="39FD27D9"/>
    <w:rsid w:val="3A3369F8"/>
    <w:rsid w:val="3A840A50"/>
    <w:rsid w:val="3AB43910"/>
    <w:rsid w:val="3B020D8B"/>
    <w:rsid w:val="3B0D44A3"/>
    <w:rsid w:val="3B2261AB"/>
    <w:rsid w:val="3B742F59"/>
    <w:rsid w:val="3B923033"/>
    <w:rsid w:val="3B9C5C73"/>
    <w:rsid w:val="3BAA429E"/>
    <w:rsid w:val="3BB9406D"/>
    <w:rsid w:val="3BBF084B"/>
    <w:rsid w:val="3BC279BC"/>
    <w:rsid w:val="3BCB191A"/>
    <w:rsid w:val="3BCB2B0E"/>
    <w:rsid w:val="3BD66B05"/>
    <w:rsid w:val="3BF81D87"/>
    <w:rsid w:val="3C123B88"/>
    <w:rsid w:val="3C2E2C6D"/>
    <w:rsid w:val="3C356749"/>
    <w:rsid w:val="3C5950C5"/>
    <w:rsid w:val="3C5D3C17"/>
    <w:rsid w:val="3C613595"/>
    <w:rsid w:val="3CA062B1"/>
    <w:rsid w:val="3CA23504"/>
    <w:rsid w:val="3CDC7E5D"/>
    <w:rsid w:val="3CFF6D0C"/>
    <w:rsid w:val="3D0678A5"/>
    <w:rsid w:val="3D4011A7"/>
    <w:rsid w:val="3D4C1802"/>
    <w:rsid w:val="3DAE4835"/>
    <w:rsid w:val="3DC21362"/>
    <w:rsid w:val="3DD1242E"/>
    <w:rsid w:val="3DDF44E8"/>
    <w:rsid w:val="3DEB7954"/>
    <w:rsid w:val="3E0560C3"/>
    <w:rsid w:val="3E137609"/>
    <w:rsid w:val="3E17411C"/>
    <w:rsid w:val="3E2A7F18"/>
    <w:rsid w:val="3E3B6DCE"/>
    <w:rsid w:val="3E3F0A4C"/>
    <w:rsid w:val="3E43002C"/>
    <w:rsid w:val="3E45157F"/>
    <w:rsid w:val="3E592372"/>
    <w:rsid w:val="3EAB7F37"/>
    <w:rsid w:val="3ED56947"/>
    <w:rsid w:val="3EE44A8C"/>
    <w:rsid w:val="3EEE5186"/>
    <w:rsid w:val="3F3B2855"/>
    <w:rsid w:val="3F4B1AFE"/>
    <w:rsid w:val="3F58F0A9"/>
    <w:rsid w:val="3F7E4D62"/>
    <w:rsid w:val="3F8D4705"/>
    <w:rsid w:val="3F9760BE"/>
    <w:rsid w:val="3FAA7EB3"/>
    <w:rsid w:val="3FAF36DC"/>
    <w:rsid w:val="3FC63DA8"/>
    <w:rsid w:val="3FDF2C87"/>
    <w:rsid w:val="3FF65D51"/>
    <w:rsid w:val="3FFC24DE"/>
    <w:rsid w:val="401261D6"/>
    <w:rsid w:val="4027017D"/>
    <w:rsid w:val="402A4DAC"/>
    <w:rsid w:val="402F2DCE"/>
    <w:rsid w:val="404C6379"/>
    <w:rsid w:val="407F6AFB"/>
    <w:rsid w:val="411346E9"/>
    <w:rsid w:val="412D758D"/>
    <w:rsid w:val="41392C4F"/>
    <w:rsid w:val="41414E24"/>
    <w:rsid w:val="417D718B"/>
    <w:rsid w:val="417E7CAF"/>
    <w:rsid w:val="41932974"/>
    <w:rsid w:val="41A605D7"/>
    <w:rsid w:val="41AA7B97"/>
    <w:rsid w:val="41C942C9"/>
    <w:rsid w:val="42374B4C"/>
    <w:rsid w:val="427B354D"/>
    <w:rsid w:val="42D54C8D"/>
    <w:rsid w:val="42FD6DEC"/>
    <w:rsid w:val="431F3705"/>
    <w:rsid w:val="432F3C48"/>
    <w:rsid w:val="43492437"/>
    <w:rsid w:val="43725D63"/>
    <w:rsid w:val="437F13BA"/>
    <w:rsid w:val="439721F6"/>
    <w:rsid w:val="43A33873"/>
    <w:rsid w:val="43B55013"/>
    <w:rsid w:val="43F32A9F"/>
    <w:rsid w:val="440E0CFD"/>
    <w:rsid w:val="441C679F"/>
    <w:rsid w:val="44254806"/>
    <w:rsid w:val="44345F55"/>
    <w:rsid w:val="44394B35"/>
    <w:rsid w:val="449A22EC"/>
    <w:rsid w:val="44A10F21"/>
    <w:rsid w:val="44AD5E71"/>
    <w:rsid w:val="44CD14C6"/>
    <w:rsid w:val="45146275"/>
    <w:rsid w:val="45243EDD"/>
    <w:rsid w:val="453037D6"/>
    <w:rsid w:val="455337F4"/>
    <w:rsid w:val="457975A2"/>
    <w:rsid w:val="457B1B10"/>
    <w:rsid w:val="458926D5"/>
    <w:rsid w:val="4595083F"/>
    <w:rsid w:val="45A76414"/>
    <w:rsid w:val="45A8033C"/>
    <w:rsid w:val="45AF32C3"/>
    <w:rsid w:val="45B408C5"/>
    <w:rsid w:val="45B723C3"/>
    <w:rsid w:val="45CB3E55"/>
    <w:rsid w:val="462521A6"/>
    <w:rsid w:val="46565414"/>
    <w:rsid w:val="46767160"/>
    <w:rsid w:val="469A554A"/>
    <w:rsid w:val="46B457DE"/>
    <w:rsid w:val="46D35E7D"/>
    <w:rsid w:val="46FE3943"/>
    <w:rsid w:val="47140DC6"/>
    <w:rsid w:val="477017D0"/>
    <w:rsid w:val="479B2592"/>
    <w:rsid w:val="47D71DFC"/>
    <w:rsid w:val="480841F9"/>
    <w:rsid w:val="4823089B"/>
    <w:rsid w:val="482848F3"/>
    <w:rsid w:val="48290BF6"/>
    <w:rsid w:val="485072D8"/>
    <w:rsid w:val="48535CAC"/>
    <w:rsid w:val="48A50C94"/>
    <w:rsid w:val="48B351E8"/>
    <w:rsid w:val="48C6639C"/>
    <w:rsid w:val="48D46872"/>
    <w:rsid w:val="48DB2626"/>
    <w:rsid w:val="49356E81"/>
    <w:rsid w:val="496F5018"/>
    <w:rsid w:val="498B16E5"/>
    <w:rsid w:val="49A206C5"/>
    <w:rsid w:val="49C035BE"/>
    <w:rsid w:val="49E92A2D"/>
    <w:rsid w:val="4A190123"/>
    <w:rsid w:val="4A3D4369"/>
    <w:rsid w:val="4A3E2ADD"/>
    <w:rsid w:val="4A6741EB"/>
    <w:rsid w:val="4A6C5291"/>
    <w:rsid w:val="4A8B5C38"/>
    <w:rsid w:val="4A91291E"/>
    <w:rsid w:val="4A961D13"/>
    <w:rsid w:val="4A9C6E13"/>
    <w:rsid w:val="4B112E63"/>
    <w:rsid w:val="4B3762FC"/>
    <w:rsid w:val="4B3F5F03"/>
    <w:rsid w:val="4B4312A5"/>
    <w:rsid w:val="4B4366E7"/>
    <w:rsid w:val="4B640C83"/>
    <w:rsid w:val="4B826A30"/>
    <w:rsid w:val="4B865FFF"/>
    <w:rsid w:val="4B8D441C"/>
    <w:rsid w:val="4B9D03CB"/>
    <w:rsid w:val="4BA67156"/>
    <w:rsid w:val="4BAC3FB2"/>
    <w:rsid w:val="4BB022ED"/>
    <w:rsid w:val="4BE671CB"/>
    <w:rsid w:val="4BEC67BE"/>
    <w:rsid w:val="4BFF333D"/>
    <w:rsid w:val="4C0D4438"/>
    <w:rsid w:val="4C707B18"/>
    <w:rsid w:val="4C8662A1"/>
    <w:rsid w:val="4CA927B2"/>
    <w:rsid w:val="4CAC2FFA"/>
    <w:rsid w:val="4CB73B13"/>
    <w:rsid w:val="4CF70635"/>
    <w:rsid w:val="4D0E6FD6"/>
    <w:rsid w:val="4D237B2C"/>
    <w:rsid w:val="4D5B52F2"/>
    <w:rsid w:val="4D76539F"/>
    <w:rsid w:val="4D9B3BA9"/>
    <w:rsid w:val="4DAB283A"/>
    <w:rsid w:val="4DAD4471"/>
    <w:rsid w:val="4DB12E65"/>
    <w:rsid w:val="4DB926D7"/>
    <w:rsid w:val="4DDA4303"/>
    <w:rsid w:val="4DDF4115"/>
    <w:rsid w:val="4E0E11AF"/>
    <w:rsid w:val="4E240AD3"/>
    <w:rsid w:val="4E256389"/>
    <w:rsid w:val="4E4A26C6"/>
    <w:rsid w:val="4E5531FB"/>
    <w:rsid w:val="4E677240"/>
    <w:rsid w:val="4E8645CC"/>
    <w:rsid w:val="4E95096B"/>
    <w:rsid w:val="4EA05AEC"/>
    <w:rsid w:val="4EC1215F"/>
    <w:rsid w:val="4F0945F7"/>
    <w:rsid w:val="4F3F0E6C"/>
    <w:rsid w:val="4F3F7017"/>
    <w:rsid w:val="4F400237"/>
    <w:rsid w:val="4F531934"/>
    <w:rsid w:val="4F555352"/>
    <w:rsid w:val="4F8A509D"/>
    <w:rsid w:val="4F935444"/>
    <w:rsid w:val="4FB50555"/>
    <w:rsid w:val="4FBC3BA2"/>
    <w:rsid w:val="4FBFA506"/>
    <w:rsid w:val="4FD30D54"/>
    <w:rsid w:val="4FDC255E"/>
    <w:rsid w:val="50001EF7"/>
    <w:rsid w:val="500D4977"/>
    <w:rsid w:val="502244C2"/>
    <w:rsid w:val="50557282"/>
    <w:rsid w:val="50775469"/>
    <w:rsid w:val="50817FBB"/>
    <w:rsid w:val="50A519D0"/>
    <w:rsid w:val="50CD3A2F"/>
    <w:rsid w:val="50FF0300"/>
    <w:rsid w:val="516347E2"/>
    <w:rsid w:val="51772B79"/>
    <w:rsid w:val="517908C8"/>
    <w:rsid w:val="51AD31F9"/>
    <w:rsid w:val="51BB3916"/>
    <w:rsid w:val="51C74246"/>
    <w:rsid w:val="51C94350"/>
    <w:rsid w:val="521A32E9"/>
    <w:rsid w:val="525B5DF1"/>
    <w:rsid w:val="52A06A82"/>
    <w:rsid w:val="52AB4233"/>
    <w:rsid w:val="52E72704"/>
    <w:rsid w:val="52E82E90"/>
    <w:rsid w:val="5305687A"/>
    <w:rsid w:val="530E4639"/>
    <w:rsid w:val="531D3B2B"/>
    <w:rsid w:val="532022C9"/>
    <w:rsid w:val="53C000DA"/>
    <w:rsid w:val="53EC7254"/>
    <w:rsid w:val="5400018E"/>
    <w:rsid w:val="54047D68"/>
    <w:rsid w:val="5431565E"/>
    <w:rsid w:val="548D35F0"/>
    <w:rsid w:val="54950F7E"/>
    <w:rsid w:val="54C26093"/>
    <w:rsid w:val="54FA1D76"/>
    <w:rsid w:val="54FA3DDF"/>
    <w:rsid w:val="54FE4BE1"/>
    <w:rsid w:val="55177FE3"/>
    <w:rsid w:val="55216A81"/>
    <w:rsid w:val="55954527"/>
    <w:rsid w:val="55971D9B"/>
    <w:rsid w:val="55A2144F"/>
    <w:rsid w:val="55B03B22"/>
    <w:rsid w:val="55B53F55"/>
    <w:rsid w:val="55C63769"/>
    <w:rsid w:val="55D81E43"/>
    <w:rsid w:val="55DC39BC"/>
    <w:rsid w:val="55EA2045"/>
    <w:rsid w:val="55FC7E02"/>
    <w:rsid w:val="56217B26"/>
    <w:rsid w:val="56445ED8"/>
    <w:rsid w:val="564B65F7"/>
    <w:rsid w:val="56563D6F"/>
    <w:rsid w:val="56915F88"/>
    <w:rsid w:val="569F78AD"/>
    <w:rsid w:val="56B50799"/>
    <w:rsid w:val="56D01B9E"/>
    <w:rsid w:val="56D121ED"/>
    <w:rsid w:val="573F1518"/>
    <w:rsid w:val="5741689A"/>
    <w:rsid w:val="57744797"/>
    <w:rsid w:val="579414B4"/>
    <w:rsid w:val="57BC4AD9"/>
    <w:rsid w:val="57DA3CA2"/>
    <w:rsid w:val="57EF19C5"/>
    <w:rsid w:val="57F03DFB"/>
    <w:rsid w:val="57F626A6"/>
    <w:rsid w:val="57F6444D"/>
    <w:rsid w:val="57F966A7"/>
    <w:rsid w:val="580A663E"/>
    <w:rsid w:val="5846770A"/>
    <w:rsid w:val="58480CC8"/>
    <w:rsid w:val="584C4B06"/>
    <w:rsid w:val="586952C4"/>
    <w:rsid w:val="588E04C8"/>
    <w:rsid w:val="58914A7C"/>
    <w:rsid w:val="58A97C92"/>
    <w:rsid w:val="58B35F76"/>
    <w:rsid w:val="58F07037"/>
    <w:rsid w:val="58F241D8"/>
    <w:rsid w:val="58FC3D14"/>
    <w:rsid w:val="590F03E8"/>
    <w:rsid w:val="5917486E"/>
    <w:rsid w:val="59362CA7"/>
    <w:rsid w:val="593F316D"/>
    <w:rsid w:val="59543DB8"/>
    <w:rsid w:val="599C2F62"/>
    <w:rsid w:val="59AE2D55"/>
    <w:rsid w:val="59C54150"/>
    <w:rsid w:val="59C90D20"/>
    <w:rsid w:val="59D71F00"/>
    <w:rsid w:val="5A0A6CE6"/>
    <w:rsid w:val="5A1A7811"/>
    <w:rsid w:val="5A2A7326"/>
    <w:rsid w:val="5A45773F"/>
    <w:rsid w:val="5A535B71"/>
    <w:rsid w:val="5A720D75"/>
    <w:rsid w:val="5A766696"/>
    <w:rsid w:val="5A9C3C14"/>
    <w:rsid w:val="5AB30B59"/>
    <w:rsid w:val="5AE0342D"/>
    <w:rsid w:val="5B304284"/>
    <w:rsid w:val="5B3D7B82"/>
    <w:rsid w:val="5B6263C0"/>
    <w:rsid w:val="5B6825BE"/>
    <w:rsid w:val="5B9B0D32"/>
    <w:rsid w:val="5BA95DB8"/>
    <w:rsid w:val="5BC97547"/>
    <w:rsid w:val="5BCD63C2"/>
    <w:rsid w:val="5BD37003"/>
    <w:rsid w:val="5BD73796"/>
    <w:rsid w:val="5BDF7710"/>
    <w:rsid w:val="5BFF53C9"/>
    <w:rsid w:val="5BFFB2FB"/>
    <w:rsid w:val="5C364FBB"/>
    <w:rsid w:val="5C36609A"/>
    <w:rsid w:val="5C3A4DCC"/>
    <w:rsid w:val="5C6B138B"/>
    <w:rsid w:val="5C7C1D2B"/>
    <w:rsid w:val="5C8E483B"/>
    <w:rsid w:val="5CB204B2"/>
    <w:rsid w:val="5CC62308"/>
    <w:rsid w:val="5CCB2121"/>
    <w:rsid w:val="5CDB7FE6"/>
    <w:rsid w:val="5D0423B3"/>
    <w:rsid w:val="5D062A8C"/>
    <w:rsid w:val="5D24578C"/>
    <w:rsid w:val="5D301201"/>
    <w:rsid w:val="5D3C6BEF"/>
    <w:rsid w:val="5D69740E"/>
    <w:rsid w:val="5D7B2C00"/>
    <w:rsid w:val="5DD41422"/>
    <w:rsid w:val="5E5C2D10"/>
    <w:rsid w:val="5E672B13"/>
    <w:rsid w:val="5E790706"/>
    <w:rsid w:val="5E886F4C"/>
    <w:rsid w:val="5EA80085"/>
    <w:rsid w:val="5ECF26F0"/>
    <w:rsid w:val="5EE52C0A"/>
    <w:rsid w:val="5EF5634E"/>
    <w:rsid w:val="5F332090"/>
    <w:rsid w:val="5F39278F"/>
    <w:rsid w:val="5F3D4398"/>
    <w:rsid w:val="5F4E6A23"/>
    <w:rsid w:val="5F56509D"/>
    <w:rsid w:val="5F711101"/>
    <w:rsid w:val="5F842944"/>
    <w:rsid w:val="5F9B2C4A"/>
    <w:rsid w:val="5FA16B8C"/>
    <w:rsid w:val="5FA4694C"/>
    <w:rsid w:val="5FADDA4D"/>
    <w:rsid w:val="5FD22A21"/>
    <w:rsid w:val="5FDC11B1"/>
    <w:rsid w:val="5FE2C5AD"/>
    <w:rsid w:val="5FF46A4E"/>
    <w:rsid w:val="5FF5B4BD"/>
    <w:rsid w:val="600F51BB"/>
    <w:rsid w:val="6013592F"/>
    <w:rsid w:val="60341957"/>
    <w:rsid w:val="604F23FC"/>
    <w:rsid w:val="60774F13"/>
    <w:rsid w:val="60B47211"/>
    <w:rsid w:val="60B760C5"/>
    <w:rsid w:val="60BC72C7"/>
    <w:rsid w:val="60CF107D"/>
    <w:rsid w:val="60E17741"/>
    <w:rsid w:val="60E266D9"/>
    <w:rsid w:val="60EB76D6"/>
    <w:rsid w:val="610D556A"/>
    <w:rsid w:val="611038A4"/>
    <w:rsid w:val="61144EFC"/>
    <w:rsid w:val="61500203"/>
    <w:rsid w:val="618E2199"/>
    <w:rsid w:val="61AD00B7"/>
    <w:rsid w:val="61C5068D"/>
    <w:rsid w:val="61D85B0B"/>
    <w:rsid w:val="61F1239D"/>
    <w:rsid w:val="61F92566"/>
    <w:rsid w:val="61FB180E"/>
    <w:rsid w:val="620921A2"/>
    <w:rsid w:val="62257D4D"/>
    <w:rsid w:val="623C3076"/>
    <w:rsid w:val="623D4BA8"/>
    <w:rsid w:val="62434A9F"/>
    <w:rsid w:val="626D10D0"/>
    <w:rsid w:val="62D73B3C"/>
    <w:rsid w:val="62D818F1"/>
    <w:rsid w:val="62FA6CAE"/>
    <w:rsid w:val="62FB435B"/>
    <w:rsid w:val="63273195"/>
    <w:rsid w:val="633E7F43"/>
    <w:rsid w:val="63434489"/>
    <w:rsid w:val="636D6557"/>
    <w:rsid w:val="637D6FB4"/>
    <w:rsid w:val="63C95C62"/>
    <w:rsid w:val="63D45E69"/>
    <w:rsid w:val="63D952E9"/>
    <w:rsid w:val="63E40529"/>
    <w:rsid w:val="640E1039"/>
    <w:rsid w:val="642923CD"/>
    <w:rsid w:val="6432783D"/>
    <w:rsid w:val="645A0320"/>
    <w:rsid w:val="64655429"/>
    <w:rsid w:val="648A76B4"/>
    <w:rsid w:val="64B3171D"/>
    <w:rsid w:val="64EF2C60"/>
    <w:rsid w:val="64F949E0"/>
    <w:rsid w:val="650D51A0"/>
    <w:rsid w:val="65171248"/>
    <w:rsid w:val="65204857"/>
    <w:rsid w:val="654867A4"/>
    <w:rsid w:val="655F20AF"/>
    <w:rsid w:val="65853816"/>
    <w:rsid w:val="65CF226A"/>
    <w:rsid w:val="65FB659E"/>
    <w:rsid w:val="65FF1AFF"/>
    <w:rsid w:val="66033ED3"/>
    <w:rsid w:val="660941F0"/>
    <w:rsid w:val="66460D87"/>
    <w:rsid w:val="66787E97"/>
    <w:rsid w:val="669C1E10"/>
    <w:rsid w:val="66DC48EF"/>
    <w:rsid w:val="66F6024A"/>
    <w:rsid w:val="672943FF"/>
    <w:rsid w:val="67316EFA"/>
    <w:rsid w:val="676D3451"/>
    <w:rsid w:val="679D1F75"/>
    <w:rsid w:val="67C43AF9"/>
    <w:rsid w:val="67D255FF"/>
    <w:rsid w:val="67E165C3"/>
    <w:rsid w:val="67F972CE"/>
    <w:rsid w:val="680473EC"/>
    <w:rsid w:val="683D7815"/>
    <w:rsid w:val="68433227"/>
    <w:rsid w:val="684B304E"/>
    <w:rsid w:val="684B78B4"/>
    <w:rsid w:val="68512F45"/>
    <w:rsid w:val="6873537D"/>
    <w:rsid w:val="68CC13AE"/>
    <w:rsid w:val="68E25D3E"/>
    <w:rsid w:val="68E82870"/>
    <w:rsid w:val="68EB3C5E"/>
    <w:rsid w:val="690B4993"/>
    <w:rsid w:val="690D233D"/>
    <w:rsid w:val="69100AE3"/>
    <w:rsid w:val="697727C6"/>
    <w:rsid w:val="69AE66CB"/>
    <w:rsid w:val="69D42DC9"/>
    <w:rsid w:val="69D50DC6"/>
    <w:rsid w:val="69D75D11"/>
    <w:rsid w:val="69E707BC"/>
    <w:rsid w:val="69EB6053"/>
    <w:rsid w:val="6A422D40"/>
    <w:rsid w:val="6A696BC8"/>
    <w:rsid w:val="6ACF421D"/>
    <w:rsid w:val="6AD45238"/>
    <w:rsid w:val="6AFA0EDD"/>
    <w:rsid w:val="6B042802"/>
    <w:rsid w:val="6B214B46"/>
    <w:rsid w:val="6B262943"/>
    <w:rsid w:val="6B311FA0"/>
    <w:rsid w:val="6B3203CC"/>
    <w:rsid w:val="6B552E23"/>
    <w:rsid w:val="6BBC4CC7"/>
    <w:rsid w:val="6BC97539"/>
    <w:rsid w:val="6C1D6FFE"/>
    <w:rsid w:val="6C2A7E9C"/>
    <w:rsid w:val="6C2C263E"/>
    <w:rsid w:val="6C3A6BAB"/>
    <w:rsid w:val="6C473B95"/>
    <w:rsid w:val="6C504965"/>
    <w:rsid w:val="6C731807"/>
    <w:rsid w:val="6C741098"/>
    <w:rsid w:val="6C760558"/>
    <w:rsid w:val="6CC03C58"/>
    <w:rsid w:val="6CC474FC"/>
    <w:rsid w:val="6D3C5E02"/>
    <w:rsid w:val="6D573129"/>
    <w:rsid w:val="6D61240E"/>
    <w:rsid w:val="6D6F46D7"/>
    <w:rsid w:val="6D791CE0"/>
    <w:rsid w:val="6D7ECFD1"/>
    <w:rsid w:val="6D9521D4"/>
    <w:rsid w:val="6DA50B95"/>
    <w:rsid w:val="6DBD5018"/>
    <w:rsid w:val="6DD16D00"/>
    <w:rsid w:val="6DD740B9"/>
    <w:rsid w:val="6E063B4A"/>
    <w:rsid w:val="6E18699F"/>
    <w:rsid w:val="6E345911"/>
    <w:rsid w:val="6E3D1A6E"/>
    <w:rsid w:val="6E880B40"/>
    <w:rsid w:val="6EBE7FC3"/>
    <w:rsid w:val="6ED114A6"/>
    <w:rsid w:val="6EDB4164"/>
    <w:rsid w:val="6EF21048"/>
    <w:rsid w:val="6EF534B6"/>
    <w:rsid w:val="6F03320B"/>
    <w:rsid w:val="6F3E5F42"/>
    <w:rsid w:val="6F556A70"/>
    <w:rsid w:val="6F636BBD"/>
    <w:rsid w:val="6F667722"/>
    <w:rsid w:val="6F6A39C5"/>
    <w:rsid w:val="6F7C023A"/>
    <w:rsid w:val="6F87364F"/>
    <w:rsid w:val="6FA52CEE"/>
    <w:rsid w:val="6FE07A9C"/>
    <w:rsid w:val="6FF64512"/>
    <w:rsid w:val="7007404C"/>
    <w:rsid w:val="70074D02"/>
    <w:rsid w:val="70340382"/>
    <w:rsid w:val="70555ABC"/>
    <w:rsid w:val="70645580"/>
    <w:rsid w:val="706A13FD"/>
    <w:rsid w:val="706B7338"/>
    <w:rsid w:val="70CB27B1"/>
    <w:rsid w:val="70D02BF3"/>
    <w:rsid w:val="70DF427C"/>
    <w:rsid w:val="70F441E0"/>
    <w:rsid w:val="70F46790"/>
    <w:rsid w:val="71090207"/>
    <w:rsid w:val="71250B8B"/>
    <w:rsid w:val="71527397"/>
    <w:rsid w:val="715F5F8B"/>
    <w:rsid w:val="71A517E7"/>
    <w:rsid w:val="71BB29BA"/>
    <w:rsid w:val="71EB34C8"/>
    <w:rsid w:val="7211357A"/>
    <w:rsid w:val="72407649"/>
    <w:rsid w:val="725571CF"/>
    <w:rsid w:val="72645BAE"/>
    <w:rsid w:val="726E7388"/>
    <w:rsid w:val="726F7B16"/>
    <w:rsid w:val="728E0CA0"/>
    <w:rsid w:val="729805A5"/>
    <w:rsid w:val="73017A72"/>
    <w:rsid w:val="73025914"/>
    <w:rsid w:val="73567EF4"/>
    <w:rsid w:val="735B1D3F"/>
    <w:rsid w:val="737B535C"/>
    <w:rsid w:val="738B055B"/>
    <w:rsid w:val="73CF020A"/>
    <w:rsid w:val="73D4074B"/>
    <w:rsid w:val="73F30708"/>
    <w:rsid w:val="73FD614A"/>
    <w:rsid w:val="744754F2"/>
    <w:rsid w:val="7450230D"/>
    <w:rsid w:val="747F1A52"/>
    <w:rsid w:val="74A013B9"/>
    <w:rsid w:val="74B26E74"/>
    <w:rsid w:val="74BC5450"/>
    <w:rsid w:val="74BD1FB1"/>
    <w:rsid w:val="74C63B7B"/>
    <w:rsid w:val="74E30F9C"/>
    <w:rsid w:val="751B0831"/>
    <w:rsid w:val="7533694A"/>
    <w:rsid w:val="75403ABB"/>
    <w:rsid w:val="75630894"/>
    <w:rsid w:val="75982D38"/>
    <w:rsid w:val="75A056E0"/>
    <w:rsid w:val="75BA64AB"/>
    <w:rsid w:val="76022619"/>
    <w:rsid w:val="76220AC6"/>
    <w:rsid w:val="762C7B54"/>
    <w:rsid w:val="764E7FDB"/>
    <w:rsid w:val="765D4D80"/>
    <w:rsid w:val="76757B6F"/>
    <w:rsid w:val="767628C3"/>
    <w:rsid w:val="767A5BDC"/>
    <w:rsid w:val="769426ED"/>
    <w:rsid w:val="769A5068"/>
    <w:rsid w:val="76AA3937"/>
    <w:rsid w:val="76BFF2AB"/>
    <w:rsid w:val="76C01D99"/>
    <w:rsid w:val="76C7B7DF"/>
    <w:rsid w:val="770B2A25"/>
    <w:rsid w:val="773E721E"/>
    <w:rsid w:val="77530EEF"/>
    <w:rsid w:val="776E744F"/>
    <w:rsid w:val="777B955D"/>
    <w:rsid w:val="77947BB3"/>
    <w:rsid w:val="77961715"/>
    <w:rsid w:val="779A273F"/>
    <w:rsid w:val="77C359E9"/>
    <w:rsid w:val="77E707D0"/>
    <w:rsid w:val="77EF793F"/>
    <w:rsid w:val="77F14428"/>
    <w:rsid w:val="77FA7082"/>
    <w:rsid w:val="77FBB7BA"/>
    <w:rsid w:val="78077B2A"/>
    <w:rsid w:val="782E50F2"/>
    <w:rsid w:val="78655307"/>
    <w:rsid w:val="78A9540C"/>
    <w:rsid w:val="78D10E91"/>
    <w:rsid w:val="79250AA9"/>
    <w:rsid w:val="79305614"/>
    <w:rsid w:val="79316F17"/>
    <w:rsid w:val="796D77F3"/>
    <w:rsid w:val="799C4523"/>
    <w:rsid w:val="79B14AB5"/>
    <w:rsid w:val="79B86C6E"/>
    <w:rsid w:val="79D429D7"/>
    <w:rsid w:val="79EC31AB"/>
    <w:rsid w:val="79EFF4B6"/>
    <w:rsid w:val="79F52D85"/>
    <w:rsid w:val="7A077F5B"/>
    <w:rsid w:val="7A304F8E"/>
    <w:rsid w:val="7A3E1D41"/>
    <w:rsid w:val="7A3F7725"/>
    <w:rsid w:val="7A743145"/>
    <w:rsid w:val="7A997AE5"/>
    <w:rsid w:val="7A9FAFB6"/>
    <w:rsid w:val="7AB343CA"/>
    <w:rsid w:val="7AB76BFD"/>
    <w:rsid w:val="7AEB03C9"/>
    <w:rsid w:val="7AF21884"/>
    <w:rsid w:val="7AFBFAD7"/>
    <w:rsid w:val="7B057694"/>
    <w:rsid w:val="7B0D0AA5"/>
    <w:rsid w:val="7B1455AD"/>
    <w:rsid w:val="7B173817"/>
    <w:rsid w:val="7B3757C9"/>
    <w:rsid w:val="7B3C51DD"/>
    <w:rsid w:val="7B724F7F"/>
    <w:rsid w:val="7B8546B2"/>
    <w:rsid w:val="7B982FEE"/>
    <w:rsid w:val="7BE8793E"/>
    <w:rsid w:val="7C127216"/>
    <w:rsid w:val="7C181A62"/>
    <w:rsid w:val="7C253199"/>
    <w:rsid w:val="7C601B0E"/>
    <w:rsid w:val="7C7A3C60"/>
    <w:rsid w:val="7C8E6C76"/>
    <w:rsid w:val="7C937AD8"/>
    <w:rsid w:val="7CC83BA3"/>
    <w:rsid w:val="7CC86A48"/>
    <w:rsid w:val="7CD11467"/>
    <w:rsid w:val="7D0F4B07"/>
    <w:rsid w:val="7D1A4118"/>
    <w:rsid w:val="7D2272C6"/>
    <w:rsid w:val="7D3847D5"/>
    <w:rsid w:val="7D3C4833"/>
    <w:rsid w:val="7D4D3A57"/>
    <w:rsid w:val="7D654481"/>
    <w:rsid w:val="7D79631B"/>
    <w:rsid w:val="7D8B5946"/>
    <w:rsid w:val="7D9961D3"/>
    <w:rsid w:val="7DB54FB3"/>
    <w:rsid w:val="7DBB239B"/>
    <w:rsid w:val="7DCA76F7"/>
    <w:rsid w:val="7DCB4EDC"/>
    <w:rsid w:val="7DCEEE2B"/>
    <w:rsid w:val="7DDC4347"/>
    <w:rsid w:val="7DF31B89"/>
    <w:rsid w:val="7DF519E5"/>
    <w:rsid w:val="7DFC080B"/>
    <w:rsid w:val="7E0150C3"/>
    <w:rsid w:val="7E0828D2"/>
    <w:rsid w:val="7E2B3AB3"/>
    <w:rsid w:val="7E4D4BF9"/>
    <w:rsid w:val="7E7137C2"/>
    <w:rsid w:val="7E7B46E9"/>
    <w:rsid w:val="7E8131E7"/>
    <w:rsid w:val="7E9502B1"/>
    <w:rsid w:val="7E9616B3"/>
    <w:rsid w:val="7E9721D3"/>
    <w:rsid w:val="7E993F0D"/>
    <w:rsid w:val="7EA96299"/>
    <w:rsid w:val="7EB41A48"/>
    <w:rsid w:val="7EF74E61"/>
    <w:rsid w:val="7EF923E6"/>
    <w:rsid w:val="7EFEC899"/>
    <w:rsid w:val="7EFF1D3E"/>
    <w:rsid w:val="7F076B36"/>
    <w:rsid w:val="7F17E0A1"/>
    <w:rsid w:val="7F447D21"/>
    <w:rsid w:val="7F642A39"/>
    <w:rsid w:val="7F6D61D2"/>
    <w:rsid w:val="7F74421F"/>
    <w:rsid w:val="7F7C732E"/>
    <w:rsid w:val="7F7FCCE4"/>
    <w:rsid w:val="7F821E57"/>
    <w:rsid w:val="7FEF4D81"/>
    <w:rsid w:val="7FFBA7E2"/>
    <w:rsid w:val="7FFDCF6E"/>
    <w:rsid w:val="7FFE0E7C"/>
    <w:rsid w:val="7FFF3297"/>
    <w:rsid w:val="96ECBB36"/>
    <w:rsid w:val="9AB65930"/>
    <w:rsid w:val="9F7F4EF3"/>
    <w:rsid w:val="ABFE13CB"/>
    <w:rsid w:val="B9E6F7B3"/>
    <w:rsid w:val="BA750F04"/>
    <w:rsid w:val="BB2E4C59"/>
    <w:rsid w:val="BDDF131C"/>
    <w:rsid w:val="BEFCE7ED"/>
    <w:rsid w:val="BFFDDB37"/>
    <w:rsid w:val="C4DBFE66"/>
    <w:rsid w:val="D3175E22"/>
    <w:rsid w:val="D7AEF8CD"/>
    <w:rsid w:val="D95D3DC4"/>
    <w:rsid w:val="D9F6025B"/>
    <w:rsid w:val="DAF18933"/>
    <w:rsid w:val="DBFAF85F"/>
    <w:rsid w:val="DBFFA513"/>
    <w:rsid w:val="DDFA35AA"/>
    <w:rsid w:val="DEF1C829"/>
    <w:rsid w:val="DEF740DC"/>
    <w:rsid w:val="DF71A2DD"/>
    <w:rsid w:val="DFE75322"/>
    <w:rsid w:val="DFEED76D"/>
    <w:rsid w:val="DFF405DF"/>
    <w:rsid w:val="E750FA94"/>
    <w:rsid w:val="E7FFFD77"/>
    <w:rsid w:val="E95FDFC7"/>
    <w:rsid w:val="EE3BF1FD"/>
    <w:rsid w:val="EEEA4DE7"/>
    <w:rsid w:val="EF7F038E"/>
    <w:rsid w:val="EFBD1A6E"/>
    <w:rsid w:val="EFED45E7"/>
    <w:rsid w:val="EFFFE073"/>
    <w:rsid w:val="F23F7948"/>
    <w:rsid w:val="F36EF9BA"/>
    <w:rsid w:val="F5FC3ED0"/>
    <w:rsid w:val="F73AFB1B"/>
    <w:rsid w:val="F7BF6BF5"/>
    <w:rsid w:val="F9EFF3BB"/>
    <w:rsid w:val="FAF692C6"/>
    <w:rsid w:val="FAFF4CC5"/>
    <w:rsid w:val="FB362665"/>
    <w:rsid w:val="FBFC369A"/>
    <w:rsid w:val="FC8D141D"/>
    <w:rsid w:val="FD4FF4BF"/>
    <w:rsid w:val="FD5F61EF"/>
    <w:rsid w:val="FD6E7BDB"/>
    <w:rsid w:val="FEDB16F6"/>
    <w:rsid w:val="FEFB136A"/>
    <w:rsid w:val="FF1ADE2A"/>
    <w:rsid w:val="FF6F2AD1"/>
    <w:rsid w:val="FF77F8FD"/>
    <w:rsid w:val="FFABF5F9"/>
    <w:rsid w:val="FFAE2D99"/>
    <w:rsid w:val="FFBBABD3"/>
    <w:rsid w:val="FFDF39EB"/>
    <w:rsid w:val="FFFD4E77"/>
    <w:rsid w:val="FFFE02CD"/>
    <w:rsid w:val="FFFF6D2E"/>
    <w:rsid w:val="FFFFC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qFormat="1"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80" w:firstLineChars="200"/>
      <w:jc w:val="both"/>
    </w:pPr>
    <w:rPr>
      <w:rFonts w:ascii="仿宋" w:hAnsi="仿宋" w:eastAsia="仿宋" w:cs="仿宋"/>
      <w:kern w:val="2"/>
      <w:sz w:val="32"/>
      <w:szCs w:val="32"/>
      <w:lang w:val="en-US" w:eastAsia="zh-CN" w:bidi="ar-SA"/>
    </w:rPr>
  </w:style>
  <w:style w:type="paragraph" w:styleId="3">
    <w:name w:val="heading 1"/>
    <w:basedOn w:val="1"/>
    <w:next w:val="1"/>
    <w:link w:val="20"/>
    <w:qFormat/>
    <w:uiPriority w:val="0"/>
    <w:pPr>
      <w:jc w:val="left"/>
      <w:outlineLvl w:val="0"/>
    </w:pPr>
    <w:rPr>
      <w:rFonts w:ascii="宋体" w:hAnsi="宋体" w:eastAsia="黑体" w:cs="宋体"/>
      <w:b/>
      <w:bCs/>
      <w:kern w:val="36"/>
    </w:rPr>
  </w:style>
  <w:style w:type="paragraph" w:styleId="4">
    <w:name w:val="heading 2"/>
    <w:basedOn w:val="1"/>
    <w:next w:val="1"/>
    <w:link w:val="24"/>
    <w:unhideWhenUsed/>
    <w:qFormat/>
    <w:uiPriority w:val="9"/>
    <w:pPr>
      <w:keepNext/>
      <w:outlineLvl w:val="1"/>
    </w:pPr>
    <w:rPr>
      <w:rFonts w:ascii="宋体" w:hAnsi="宋体" w:eastAsia="楷体" w:cs="宋体"/>
      <w:b/>
    </w:rPr>
  </w:style>
  <w:style w:type="paragraph" w:styleId="5">
    <w:name w:val="heading 3"/>
    <w:basedOn w:val="1"/>
    <w:next w:val="1"/>
    <w:link w:val="27"/>
    <w:unhideWhenUsed/>
    <w:qFormat/>
    <w:uiPriority w:val="9"/>
    <w:pPr>
      <w:outlineLvl w:val="2"/>
    </w:pPr>
    <w:rPr>
      <w:b/>
    </w:rPr>
  </w:style>
  <w:style w:type="paragraph" w:styleId="6">
    <w:name w:val="heading 4"/>
    <w:basedOn w:val="1"/>
    <w:next w:val="1"/>
    <w:unhideWhenUsed/>
    <w:qFormat/>
    <w:uiPriority w:val="9"/>
    <w:pPr>
      <w:keepNext/>
      <w:keepLines/>
      <w:spacing w:line="372" w:lineRule="auto"/>
      <w:outlineLvl w:val="3"/>
    </w:pPr>
    <w:rPr>
      <w:rFonts w:ascii="Arial" w:hAnsi="Arial" w:eastAsia="黑体"/>
      <w:b/>
      <w:sz w:val="28"/>
    </w:rPr>
  </w:style>
  <w:style w:type="paragraph" w:styleId="7">
    <w:name w:val="heading 5"/>
    <w:basedOn w:val="1"/>
    <w:next w:val="1"/>
    <w:unhideWhenUsed/>
    <w:qFormat/>
    <w:uiPriority w:val="9"/>
    <w:pPr>
      <w:keepNext/>
      <w:keepLines/>
      <w:spacing w:line="372" w:lineRule="auto"/>
      <w:outlineLvl w:val="4"/>
    </w:pPr>
    <w:rPr>
      <w:b/>
      <w:sz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unhideWhenUsed/>
    <w:qFormat/>
    <w:uiPriority w:val="99"/>
    <w:pPr>
      <w:spacing w:after="120"/>
    </w:pPr>
  </w:style>
  <w:style w:type="paragraph" w:styleId="8">
    <w:name w:val="toc 5"/>
    <w:basedOn w:val="1"/>
    <w:next w:val="1"/>
    <w:semiHidden/>
    <w:unhideWhenUsed/>
    <w:qFormat/>
    <w:uiPriority w:val="39"/>
    <w:pPr>
      <w:ind w:left="1680" w:leftChars="800"/>
    </w:pPr>
  </w:style>
  <w:style w:type="paragraph" w:styleId="9">
    <w:name w:val="toc 3"/>
    <w:basedOn w:val="1"/>
    <w:next w:val="1"/>
    <w:unhideWhenUsed/>
    <w:qFormat/>
    <w:uiPriority w:val="39"/>
    <w:pPr>
      <w:ind w:left="840" w:leftChars="400" w:firstLine="0" w:firstLineChars="0"/>
    </w:pPr>
  </w:style>
  <w:style w:type="paragraph" w:styleId="10">
    <w:name w:val="Balloon Text"/>
    <w:basedOn w:val="1"/>
    <w:link w:val="31"/>
    <w:semiHidden/>
    <w:unhideWhenUsed/>
    <w:qFormat/>
    <w:uiPriority w:val="99"/>
    <w:rPr>
      <w:sz w:val="18"/>
      <w:szCs w:val="18"/>
    </w:rPr>
  </w:style>
  <w:style w:type="paragraph" w:styleId="11">
    <w:name w:val="footer"/>
    <w:basedOn w:val="1"/>
    <w:link w:val="21"/>
    <w:qFormat/>
    <w:uiPriority w:val="99"/>
    <w:pPr>
      <w:tabs>
        <w:tab w:val="center" w:pos="4153"/>
        <w:tab w:val="right" w:pos="8306"/>
      </w:tabs>
      <w:snapToGrid w:val="0"/>
      <w:jc w:val="left"/>
    </w:pPr>
    <w:rPr>
      <w:rFonts w:ascii="Times New Roman" w:hAnsi="Times New Roman" w:eastAsia="仿宋_GB2312"/>
      <w:sz w:val="18"/>
      <w:szCs w:val="20"/>
    </w:rPr>
  </w:style>
  <w:style w:type="paragraph" w:styleId="12">
    <w:name w:val="header"/>
    <w:basedOn w:val="1"/>
    <w:link w:val="23"/>
    <w:unhideWhenUsed/>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3">
    <w:name w:val="toc 1"/>
    <w:basedOn w:val="1"/>
    <w:next w:val="1"/>
    <w:unhideWhenUsed/>
    <w:qFormat/>
    <w:uiPriority w:val="39"/>
    <w:pPr>
      <w:ind w:firstLine="0" w:firstLineChars="0"/>
    </w:pPr>
  </w:style>
  <w:style w:type="paragraph" w:styleId="14">
    <w:name w:val="toc 2"/>
    <w:basedOn w:val="1"/>
    <w:next w:val="1"/>
    <w:unhideWhenUsed/>
    <w:qFormat/>
    <w:uiPriority w:val="39"/>
    <w:pPr>
      <w:ind w:left="420" w:leftChars="200" w:firstLine="0" w:firstLineChars="0"/>
    </w:pPr>
  </w:style>
  <w:style w:type="paragraph" w:styleId="1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qFormat/>
    <w:uiPriority w:val="0"/>
  </w:style>
  <w:style w:type="character" w:customStyle="1" w:styleId="20">
    <w:name w:val="标题 1 字符"/>
    <w:link w:val="3"/>
    <w:qFormat/>
    <w:uiPriority w:val="0"/>
    <w:rPr>
      <w:rFonts w:ascii="宋体" w:hAnsi="宋体" w:eastAsia="黑体" w:cs="宋体"/>
      <w:b/>
      <w:bCs/>
      <w:kern w:val="36"/>
      <w:sz w:val="32"/>
      <w:szCs w:val="32"/>
    </w:rPr>
  </w:style>
  <w:style w:type="character" w:customStyle="1" w:styleId="21">
    <w:name w:val="页脚 字符"/>
    <w:link w:val="11"/>
    <w:qFormat/>
    <w:uiPriority w:val="99"/>
    <w:rPr>
      <w:rFonts w:ascii="Times New Roman" w:hAnsi="Times New Roman" w:eastAsia="仿宋_GB2312"/>
      <w:kern w:val="2"/>
      <w:sz w:val="18"/>
    </w:rPr>
  </w:style>
  <w:style w:type="character" w:customStyle="1" w:styleId="22">
    <w:name w:val="font81"/>
    <w:basedOn w:val="18"/>
    <w:qFormat/>
    <w:uiPriority w:val="0"/>
    <w:rPr>
      <w:rFonts w:ascii="方正小标宋_GBK" w:hAnsi="方正小标宋_GBK" w:eastAsia="方正小标宋_GBK" w:cs="方正小标宋_GBK"/>
      <w:color w:val="000000"/>
      <w:sz w:val="40"/>
      <w:szCs w:val="40"/>
      <w:u w:val="none"/>
    </w:rPr>
  </w:style>
  <w:style w:type="character" w:customStyle="1" w:styleId="23">
    <w:name w:val="页眉 字符"/>
    <w:link w:val="12"/>
    <w:qFormat/>
    <w:uiPriority w:val="0"/>
    <w:rPr>
      <w:rFonts w:ascii="Times New Roman" w:hAnsi="Times New Roman"/>
      <w:kern w:val="2"/>
      <w:sz w:val="18"/>
      <w:szCs w:val="18"/>
    </w:rPr>
  </w:style>
  <w:style w:type="character" w:customStyle="1" w:styleId="24">
    <w:name w:val="标题 2 字符"/>
    <w:link w:val="4"/>
    <w:qFormat/>
    <w:uiPriority w:val="9"/>
    <w:rPr>
      <w:rFonts w:ascii="宋体" w:hAnsi="宋体" w:eastAsia="楷体" w:cs="宋体"/>
      <w:b/>
    </w:rPr>
  </w:style>
  <w:style w:type="character" w:customStyle="1" w:styleId="25">
    <w:name w:val="font71"/>
    <w:qFormat/>
    <w:uiPriority w:val="0"/>
    <w:rPr>
      <w:rFonts w:hint="eastAsia" w:ascii="宋体" w:hAnsi="宋体" w:eastAsia="宋体" w:cs="宋体"/>
      <w:b/>
      <w:color w:val="000000"/>
      <w:sz w:val="24"/>
      <w:szCs w:val="24"/>
      <w:u w:val="none"/>
    </w:rPr>
  </w:style>
  <w:style w:type="character" w:customStyle="1" w:styleId="26">
    <w:name w:val="font41"/>
    <w:qFormat/>
    <w:uiPriority w:val="0"/>
    <w:rPr>
      <w:rFonts w:hint="default" w:ascii="Times New Roman" w:hAnsi="Times New Roman" w:cs="Times New Roman"/>
      <w:b/>
      <w:color w:val="000000"/>
      <w:sz w:val="24"/>
      <w:szCs w:val="24"/>
      <w:u w:val="none"/>
    </w:rPr>
  </w:style>
  <w:style w:type="character" w:customStyle="1" w:styleId="27">
    <w:name w:val="标题 3 字符"/>
    <w:link w:val="5"/>
    <w:qFormat/>
    <w:uiPriority w:val="9"/>
    <w:rPr>
      <w:b/>
    </w:rPr>
  </w:style>
  <w:style w:type="paragraph" w:customStyle="1" w:styleId="28">
    <w:name w:val="WPSOffice手动目录 1"/>
    <w:qFormat/>
    <w:uiPriority w:val="0"/>
    <w:rPr>
      <w:rFonts w:ascii="Calibri" w:hAnsi="Calibri" w:eastAsia="宋体" w:cs="Times New Roman"/>
      <w:lang w:val="en-US" w:eastAsia="zh-CN" w:bidi="ar-SA"/>
    </w:rPr>
  </w:style>
  <w:style w:type="paragraph" w:customStyle="1" w:styleId="29">
    <w:name w:val="WPSOffice手动目录 2"/>
    <w:qFormat/>
    <w:uiPriority w:val="0"/>
    <w:pPr>
      <w:ind w:left="200" w:leftChars="200"/>
    </w:pPr>
    <w:rPr>
      <w:rFonts w:ascii="Calibri" w:hAnsi="Calibri" w:eastAsia="宋体" w:cs="Times New Roman"/>
      <w:lang w:val="en-US" w:eastAsia="zh-CN" w:bidi="ar-SA"/>
    </w:rPr>
  </w:style>
  <w:style w:type="paragraph" w:customStyle="1" w:styleId="30">
    <w:name w:val="WPSOffice手动目录 3"/>
    <w:qFormat/>
    <w:uiPriority w:val="0"/>
    <w:pPr>
      <w:ind w:left="400" w:leftChars="400"/>
    </w:pPr>
    <w:rPr>
      <w:rFonts w:ascii="Calibri" w:hAnsi="Calibri" w:eastAsia="宋体" w:cs="Times New Roman"/>
      <w:lang w:val="en-US" w:eastAsia="zh-CN" w:bidi="ar-SA"/>
    </w:rPr>
  </w:style>
  <w:style w:type="character" w:customStyle="1" w:styleId="31">
    <w:name w:val="批注框文本 字符"/>
    <w:basedOn w:val="18"/>
    <w:link w:val="10"/>
    <w:semiHidden/>
    <w:qFormat/>
    <w:uiPriority w:val="99"/>
    <w:rPr>
      <w:rFonts w:ascii="仿宋" w:hAnsi="仿宋" w:eastAsia="仿宋" w:cs="仿宋"/>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4"/>
    <customShpInfo spid="_x0000_s2050"/>
  </customShpExts>
  <extobjs>
    <extobj name="ECB019B1-382A-4266-B25C-5B523AA43C14-1">
      <extobjdata type="ECB019B1-382A-4266-B25C-5B523AA43C14" data="ewoJIkZpbGVJZCIgOiAiMTQwNzc1NDczNjM2IiwKCSJHcm91cElkIiA6ICI1Mjg2ODI0MTUiLAoJIkltYWdlIiA6ICJpVkJPUncwS0dnb0FBQUFOU1VoRVVnQUFCQjBBQUFSMENBWUFBQUE5L200TUFBQUFDWEJJV1hNQUFBc1RBQUFMRXdFQW1wd1lBQUFnQUVsRVFWUjRuT3pkZVh3VjFmMy84ZmRrWXd1ZzFBcWk2RU5CS1M3RmUxT29FVVVJcUZBUUJhc0lQOUdLUzdFS1NFVmJEQ2dXcllpQ0R4RVFyU0JXR3lRb2kyeFNaVk1vSUNZM2lBRml3WWhBMk1PUy9TYTU1L2RIbXZrU2tzQU5ZVEpaWHMvSGc0Y3paODZkK2R5QUp6ZnZ6RGtqQV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RnM1BQL0pGTjBGdjZnMytrQUFBQUFTVVZPUks1Q1lJST0iLAoJIlRoZW1lIiA6ICIiLAoJIlR5cGUiIDogImZsb3ciLAoJIlZlcnNpb24iIDogIi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39</Pages>
  <Words>19937</Words>
  <Characters>20389</Characters>
  <Lines>179</Lines>
  <Paragraphs>50</Paragraphs>
  <TotalTime>0</TotalTime>
  <ScaleCrop>false</ScaleCrop>
  <LinksUpToDate>false</LinksUpToDate>
  <CharactersWithSpaces>20445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2016-12-09T19:55:00Z</dcterms:created>
  <dc:creator>lenovo</dc:creator>
  <cp:lastModifiedBy>thfgw</cp:lastModifiedBy>
  <cp:lastPrinted>2023-12-11T03:18:00Z</cp:lastPrinted>
  <dcterms:modified xsi:type="dcterms:W3CDTF">2024-07-08T14:12:29Z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01633DB544E44B56B0BE801BBE291AAA</vt:lpwstr>
  </property>
</Properties>
</file>