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079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default" w:ascii="黑体" w:hAnsi="黑体" w:eastAsia="黑体" w:cs="黑体"/>
          <w:b w:val="0"/>
          <w:bCs w:val="0"/>
          <w:color w:val="000000"/>
          <w:sz w:val="32"/>
          <w:szCs w:val="32"/>
          <w:lang w:val="en-US" w:eastAsia="zh-CN"/>
        </w:rPr>
      </w:pPr>
      <w:bookmarkStart w:id="0" w:name="_GoBack"/>
      <w:bookmarkEnd w:id="0"/>
      <w:r>
        <w:rPr>
          <w:rFonts w:hint="eastAsia" w:ascii="黑体" w:hAnsi="黑体" w:eastAsia="黑体" w:cs="黑体"/>
          <w:b w:val="0"/>
          <w:bCs w:val="0"/>
          <w:color w:val="000000"/>
          <w:sz w:val="32"/>
          <w:szCs w:val="32"/>
          <w:lang w:val="en-US" w:eastAsia="zh-CN"/>
        </w:rPr>
        <w:t>附件</w:t>
      </w:r>
      <w:r>
        <w:rPr>
          <w:rFonts w:hint="default" w:ascii="Times New Roman" w:hAnsi="Times New Roman" w:eastAsia="黑体" w:cs="Times New Roman"/>
          <w:b w:val="0"/>
          <w:bCs w:val="0"/>
          <w:color w:val="000000"/>
          <w:sz w:val="32"/>
          <w:szCs w:val="32"/>
          <w:lang w:val="en-US" w:eastAsia="zh-CN"/>
        </w:rPr>
        <w:t>2</w:t>
      </w:r>
    </w:p>
    <w:p w14:paraId="78E938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w:t>
      </w:r>
      <w:r>
        <w:rPr>
          <w:rFonts w:hint="eastAsia" w:ascii="方正小标宋简体" w:hAnsi="方正小标宋简体" w:eastAsia="方正小标宋简体" w:cs="方正小标宋简体"/>
          <w:b w:val="0"/>
          <w:bCs w:val="0"/>
          <w:color w:val="000000"/>
          <w:sz w:val="44"/>
          <w:szCs w:val="44"/>
          <w:lang w:val="en-US" w:eastAsia="zh-CN"/>
        </w:rPr>
        <w:t>通化市</w:t>
      </w:r>
      <w:r>
        <w:rPr>
          <w:rFonts w:hint="eastAsia" w:ascii="方正小标宋简体" w:hAnsi="方正小标宋简体" w:eastAsia="方正小标宋简体" w:cs="方正小标宋简体"/>
          <w:b w:val="0"/>
          <w:bCs w:val="0"/>
          <w:color w:val="000000"/>
          <w:sz w:val="44"/>
          <w:szCs w:val="44"/>
        </w:rPr>
        <w:t>建立长期护理保险制度实施方案</w:t>
      </w:r>
    </w:p>
    <w:p w14:paraId="7D5EC9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w:t>
      </w:r>
      <w:r>
        <w:rPr>
          <w:rFonts w:hint="eastAsia" w:ascii="方正小标宋简体" w:hAnsi="方正小标宋简体" w:eastAsia="方正小标宋简体" w:cs="方正小标宋简体"/>
          <w:b w:val="0"/>
          <w:bCs w:val="0"/>
          <w:color w:val="000000"/>
          <w:sz w:val="44"/>
          <w:szCs w:val="44"/>
          <w:lang w:val="en-US" w:eastAsia="zh-CN"/>
        </w:rPr>
        <w:t>征求意见稿</w:t>
      </w:r>
      <w:r>
        <w:rPr>
          <w:rFonts w:hint="eastAsia" w:ascii="方正小标宋简体" w:hAnsi="方正小标宋简体" w:eastAsia="方正小标宋简体" w:cs="方正小标宋简体"/>
          <w:b w:val="0"/>
          <w:bCs w:val="0"/>
          <w:color w:val="000000"/>
          <w:sz w:val="44"/>
          <w:szCs w:val="44"/>
          <w:lang w:eastAsia="zh-CN"/>
        </w:rPr>
        <w:t>）</w:t>
      </w:r>
      <w:r>
        <w:rPr>
          <w:rFonts w:hint="eastAsia" w:ascii="方正小标宋简体" w:hAnsi="方正小标宋简体" w:eastAsia="方正小标宋简体" w:cs="方正小标宋简体"/>
          <w:b w:val="0"/>
          <w:bCs w:val="0"/>
          <w:color w:val="000000"/>
          <w:sz w:val="44"/>
          <w:szCs w:val="44"/>
        </w:rPr>
        <w:t>》政策解读</w:t>
      </w:r>
    </w:p>
    <w:p w14:paraId="0853EB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color w:val="000000"/>
          <w:sz w:val="32"/>
          <w:szCs w:val="32"/>
        </w:rPr>
      </w:pPr>
    </w:p>
    <w:p w14:paraId="292497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一、出台背景</w:t>
      </w:r>
    </w:p>
    <w:p w14:paraId="37B298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为</w:t>
      </w:r>
      <w:r>
        <w:rPr>
          <w:rFonts w:hint="eastAsia" w:ascii="Times New Roman" w:hAnsi="Times New Roman" w:eastAsia="仿宋_GB2312" w:cs="Times New Roman"/>
          <w:b w:val="0"/>
          <w:bCs w:val="0"/>
          <w:color w:val="000000"/>
          <w:kern w:val="0"/>
          <w:sz w:val="32"/>
          <w:szCs w:val="32"/>
          <w:lang w:val="en-US" w:eastAsia="zh-CN" w:bidi="ar"/>
        </w:rPr>
        <w:t>加快建立我市</w:t>
      </w:r>
      <w:r>
        <w:rPr>
          <w:rFonts w:hint="default" w:ascii="Times New Roman" w:hAnsi="Times New Roman" w:eastAsia="仿宋_GB2312" w:cs="Times New Roman"/>
          <w:b w:val="0"/>
          <w:bCs w:val="0"/>
          <w:color w:val="000000"/>
          <w:kern w:val="0"/>
          <w:sz w:val="32"/>
          <w:szCs w:val="32"/>
          <w:lang w:val="en-US" w:eastAsia="zh-CN" w:bidi="ar"/>
        </w:rPr>
        <w:t>长期护理保险制度，推动解决失能人员长期护理基本保障需求，</w:t>
      </w:r>
      <w:r>
        <w:rPr>
          <w:rFonts w:hint="eastAsia" w:ascii="Times New Roman" w:hAnsi="Times New Roman" w:eastAsia="仿宋_GB2312" w:cs="Times New Roman"/>
          <w:b w:val="0"/>
          <w:bCs w:val="0"/>
          <w:color w:val="000000"/>
          <w:kern w:val="0"/>
          <w:sz w:val="32"/>
          <w:szCs w:val="32"/>
          <w:lang w:val="en-US" w:eastAsia="zh-CN" w:bidi="ar"/>
        </w:rPr>
        <w:t>中共中央办公厅和国务院办公厅联合印发了</w:t>
      </w: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关</w:t>
      </w:r>
      <w:r>
        <w:rPr>
          <w:rFonts w:hint="default" w:ascii="Times New Roman" w:hAnsi="Times New Roman" w:eastAsia="仿宋_GB2312" w:cs="Times New Roman"/>
          <w:b w:val="0"/>
          <w:bCs w:val="0"/>
          <w:color w:val="000000"/>
          <w:kern w:val="0"/>
          <w:sz w:val="32"/>
          <w:szCs w:val="32"/>
          <w:lang w:val="en-US" w:eastAsia="zh-CN" w:bidi="ar"/>
        </w:rPr>
        <w:t>于加快建立长期护理保险制度的意见》</w:t>
      </w:r>
      <w:r>
        <w:rPr>
          <w:rFonts w:hint="eastAsia" w:ascii="Times New Roman" w:hAnsi="Times New Roman" w:eastAsia="仿宋_GB2312" w:cs="Times New Roman"/>
          <w:b w:val="0"/>
          <w:bCs w:val="0"/>
          <w:color w:val="000000"/>
          <w:kern w:val="0"/>
          <w:sz w:val="32"/>
          <w:szCs w:val="32"/>
          <w:lang w:val="en-US" w:eastAsia="zh-CN" w:bidi="ar"/>
        </w:rPr>
        <w:t>明确要求用3年左右时间建立适应我国基本国情的长期护理保险制度。为了落实《意见》，省政府办公厅近期印发出台了</w:t>
      </w:r>
      <w:r>
        <w:rPr>
          <w:rFonts w:hint="default" w:ascii="Times New Roman" w:hAnsi="Times New Roman" w:eastAsia="仿宋_GB2312" w:cs="Times New Roman"/>
          <w:b w:val="0"/>
          <w:bCs w:val="0"/>
          <w:color w:val="000000"/>
          <w:kern w:val="0"/>
          <w:sz w:val="32"/>
          <w:szCs w:val="32"/>
          <w:lang w:val="en-US" w:eastAsia="zh-CN" w:bidi="ar"/>
        </w:rPr>
        <w:t>《吉林省完善长期护理保险制度实施方案》（吉政办发〔2026〕3号），</w:t>
      </w:r>
      <w:r>
        <w:rPr>
          <w:rFonts w:hint="eastAsia" w:ascii="Times New Roman" w:hAnsi="Times New Roman" w:eastAsia="仿宋_GB2312" w:cs="Times New Roman"/>
          <w:b w:val="0"/>
          <w:bCs w:val="0"/>
          <w:color w:val="000000"/>
          <w:kern w:val="0"/>
          <w:sz w:val="32"/>
          <w:szCs w:val="32"/>
          <w:lang w:val="en-US" w:eastAsia="zh-CN" w:bidi="ar"/>
        </w:rPr>
        <w:t>要求各地要结合本地实际制定出台本统筹区的实施方案，此前开展长期护理保险制度试点的统筹区用3年左右时间妥善调整政策，逐步向国家层面明确的改革方向和政策规定过渡。为了贯彻落实《意见》和省《实施方案》，</w:t>
      </w:r>
      <w:r>
        <w:rPr>
          <w:rFonts w:hint="default" w:ascii="Times New Roman" w:hAnsi="Times New Roman" w:eastAsia="仿宋_GB2312" w:cs="Times New Roman"/>
          <w:b w:val="0"/>
          <w:bCs w:val="0"/>
          <w:color w:val="000000"/>
          <w:kern w:val="0"/>
          <w:sz w:val="32"/>
          <w:szCs w:val="32"/>
          <w:lang w:val="en-US" w:eastAsia="zh-CN" w:bidi="ar"/>
        </w:rPr>
        <w:t>在总结</w:t>
      </w:r>
      <w:r>
        <w:rPr>
          <w:rFonts w:hint="eastAsia" w:ascii="Times New Roman" w:hAnsi="Times New Roman" w:eastAsia="仿宋_GB2312" w:cs="Times New Roman"/>
          <w:b w:val="0"/>
          <w:bCs w:val="0"/>
          <w:color w:val="000000"/>
          <w:kern w:val="0"/>
          <w:sz w:val="32"/>
          <w:szCs w:val="32"/>
          <w:lang w:val="en-US" w:eastAsia="zh-CN" w:bidi="ar"/>
        </w:rPr>
        <w:t>我市</w:t>
      </w:r>
      <w:r>
        <w:rPr>
          <w:rFonts w:hint="default" w:ascii="Times New Roman" w:hAnsi="Times New Roman" w:eastAsia="仿宋_GB2312" w:cs="Times New Roman"/>
          <w:b w:val="0"/>
          <w:bCs w:val="0"/>
          <w:color w:val="000000"/>
          <w:kern w:val="0"/>
          <w:sz w:val="32"/>
          <w:szCs w:val="32"/>
          <w:lang w:val="en-US" w:eastAsia="zh-CN" w:bidi="ar"/>
        </w:rPr>
        <w:t>试点</w:t>
      </w:r>
      <w:r>
        <w:rPr>
          <w:rFonts w:hint="eastAsia" w:ascii="Times New Roman" w:hAnsi="Times New Roman" w:eastAsia="仿宋_GB2312" w:cs="Times New Roman"/>
          <w:b w:val="0"/>
          <w:bCs w:val="0"/>
          <w:color w:val="000000"/>
          <w:kern w:val="0"/>
          <w:sz w:val="32"/>
          <w:szCs w:val="32"/>
          <w:lang w:val="en-US" w:eastAsia="zh-CN" w:bidi="ar"/>
        </w:rPr>
        <w:t>经验</w:t>
      </w:r>
      <w:r>
        <w:rPr>
          <w:rFonts w:hint="default" w:ascii="Times New Roman" w:hAnsi="Times New Roman" w:eastAsia="仿宋_GB2312" w:cs="Times New Roman"/>
          <w:b w:val="0"/>
          <w:bCs w:val="0"/>
          <w:color w:val="000000"/>
          <w:kern w:val="0"/>
          <w:sz w:val="32"/>
          <w:szCs w:val="32"/>
          <w:lang w:val="en-US" w:eastAsia="zh-CN" w:bidi="ar"/>
        </w:rPr>
        <w:t>的基础上，结合我市实际，制定本方案。</w:t>
      </w:r>
    </w:p>
    <w:p w14:paraId="3A5D24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黑体" w:hAnsi="黑体" w:eastAsia="黑体" w:cs="黑体"/>
          <w:b w:val="0"/>
          <w:bCs w:val="0"/>
          <w:color w:val="000000"/>
          <w:sz w:val="32"/>
          <w:szCs w:val="32"/>
          <w:lang w:eastAsia="zh-CN"/>
        </w:rPr>
      </w:pPr>
      <w:r>
        <w:rPr>
          <w:rFonts w:hint="default" w:ascii="黑体" w:hAnsi="黑体" w:eastAsia="黑体" w:cs="黑体"/>
          <w:b w:val="0"/>
          <w:bCs w:val="0"/>
          <w:color w:val="000000"/>
          <w:sz w:val="32"/>
          <w:szCs w:val="32"/>
        </w:rPr>
        <w:t>二、</w:t>
      </w:r>
      <w:r>
        <w:rPr>
          <w:rFonts w:hint="eastAsia" w:ascii="黑体" w:hAnsi="黑体" w:eastAsia="黑体" w:cs="黑体"/>
          <w:b w:val="0"/>
          <w:bCs w:val="0"/>
          <w:color w:val="000000"/>
          <w:sz w:val="32"/>
          <w:szCs w:val="32"/>
          <w:lang w:val="en-US" w:eastAsia="zh-CN"/>
        </w:rPr>
        <w:t>目标任务</w:t>
      </w:r>
    </w:p>
    <w:p w14:paraId="59917F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覆盖全民、统筹城乡、公平统一、安全规范、可持续”的总要求，结合我市长期护理保险运行实际，用3年左右时间妥善调整政策，逐步完善我市长期护理保险制度，向国家和省明确的改革方向和政策规定过渡，‌切实增强失能人员及其家庭的获得感、幸福感、安全感，推动制度运行更加平稳高效、服务供给更加精准可及‌。</w:t>
      </w:r>
    </w:p>
    <w:p w14:paraId="046CD9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2026年，出台我市完善长期护理保险制度实施方案，规范完成原职工和居民长期护理保险的基金合并、清理及划转相关工作。到2027年，通过调整参保筹资、待遇支付等政策，逐步完善我市长期护理保险政策制度。到2028年，形成筹资稳健、待遇公平、管理科学、安全规范、可持续的长期护理保险制度体系。</w:t>
      </w:r>
    </w:p>
    <w:p w14:paraId="429C7F7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kern w:val="2"/>
          <w:sz w:val="32"/>
          <w:szCs w:val="32"/>
          <w:lang w:val="en-US" w:eastAsia="zh-CN" w:bidi="ar-SA"/>
        </w:rPr>
        <w:t>三、</w:t>
      </w:r>
      <w:r>
        <w:rPr>
          <w:rFonts w:hint="eastAsia" w:ascii="黑体" w:hAnsi="黑体" w:eastAsia="黑体" w:cs="黑体"/>
          <w:color w:val="000000"/>
          <w:sz w:val="32"/>
          <w:szCs w:val="32"/>
          <w:lang w:val="en-US" w:eastAsia="zh-CN"/>
        </w:rPr>
        <w:t>制度安排</w:t>
      </w:r>
    </w:p>
    <w:p w14:paraId="3B1CF7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用人单位及其单位职工、退休人员、灵活就业人员和未就业城乡居民等按照属地原则，参加长期护理保险。基金统一建账，资金统筹使用。实行制度政策统一、基金统收统支、管理服务一体的市级统筹。参加我市基本医疗保险的人员，同步参加长期护理保险。</w:t>
      </w:r>
    </w:p>
    <w:p w14:paraId="2508E4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w:t>
      </w:r>
      <w:r>
        <w:rPr>
          <w:rFonts w:hint="default" w:ascii="黑体" w:hAnsi="黑体" w:eastAsia="黑体" w:cs="黑体"/>
          <w:color w:val="000000"/>
          <w:sz w:val="32"/>
          <w:szCs w:val="32"/>
          <w:lang w:val="en-US" w:eastAsia="zh-CN"/>
        </w:rPr>
        <w:t>筹资政策</w:t>
      </w:r>
    </w:p>
    <w:p w14:paraId="147EDA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b w:val="0"/>
          <w:bCs w:val="0"/>
          <w:color w:val="000000"/>
          <w:sz w:val="32"/>
          <w:szCs w:val="32"/>
          <w:lang w:val="en-US" w:eastAsia="zh-CN"/>
        </w:rPr>
        <w:t>单位职工。</w:t>
      </w:r>
      <w:r>
        <w:rPr>
          <w:rFonts w:hint="default" w:ascii="Times New Roman" w:hAnsi="Times New Roman" w:eastAsia="仿宋_GB2312" w:cs="Times New Roman"/>
          <w:color w:val="000000"/>
          <w:sz w:val="32"/>
          <w:szCs w:val="32"/>
          <w:lang w:val="en-US" w:eastAsia="zh-CN"/>
        </w:rPr>
        <w:t>单位职工由用人单位和个人共同缴费，费率按同比例分担，缴费基数与基本医保一致。2026年至2028年单位职工筹资政策保持现行标准不变。自2029年1月1日起，单位职工费率调整为0.25%（单位和个人各为0.125%）。</w:t>
      </w:r>
    </w:p>
    <w:p w14:paraId="6A4730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（二）</w:t>
      </w:r>
      <w:r>
        <w:rPr>
          <w:rFonts w:hint="default" w:ascii="楷体_GB2312" w:hAnsi="楷体_GB2312" w:eastAsia="楷体_GB2312" w:cs="楷体_GB2312"/>
          <w:color w:val="000000"/>
          <w:sz w:val="32"/>
          <w:szCs w:val="32"/>
          <w:lang w:val="en-US" w:eastAsia="zh-CN"/>
        </w:rPr>
        <w:t>退休人员。</w:t>
      </w:r>
      <w:r>
        <w:rPr>
          <w:rFonts w:hint="default" w:ascii="Times New Roman" w:hAnsi="Times New Roman" w:eastAsia="仿宋_GB2312" w:cs="Times New Roman"/>
          <w:color w:val="000000"/>
          <w:sz w:val="32"/>
          <w:szCs w:val="32"/>
          <w:lang w:val="en-US" w:eastAsia="zh-CN"/>
        </w:rPr>
        <w:t>退休人员费率与单位职工个人费率相同，由个人缴费，原用人单位不缴费。过渡期内缴费基数按现行规定执行，过渡期结束后按国家要求逐步调整到与基本养老金挂钩。</w:t>
      </w:r>
    </w:p>
    <w:p w14:paraId="4B64D9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（三）</w:t>
      </w:r>
      <w:r>
        <w:rPr>
          <w:rFonts w:hint="default" w:ascii="楷体_GB2312" w:hAnsi="楷体_GB2312" w:eastAsia="楷体_GB2312" w:cs="楷体_GB2312"/>
          <w:color w:val="000000"/>
          <w:sz w:val="32"/>
          <w:szCs w:val="32"/>
          <w:lang w:val="en-US" w:eastAsia="zh-CN"/>
        </w:rPr>
        <w:t>未就业城乡居民。</w:t>
      </w:r>
      <w:r>
        <w:rPr>
          <w:rFonts w:hint="default" w:ascii="Times New Roman" w:hAnsi="Times New Roman" w:eastAsia="仿宋_GB2312" w:cs="Times New Roman"/>
          <w:color w:val="000000"/>
          <w:sz w:val="32"/>
          <w:szCs w:val="32"/>
          <w:lang w:val="en-US" w:eastAsia="zh-CN"/>
        </w:rPr>
        <w:t>未就业城乡居民由个人缴费和政府补助相结合，个人缴费和财政补助按1:1左右分担，政府补助由中央财政和地方财政共同承担</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执行全省统一缴费标准。</w:t>
      </w:r>
    </w:p>
    <w:p w14:paraId="72B673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（四）</w:t>
      </w:r>
      <w:r>
        <w:rPr>
          <w:rFonts w:hint="default" w:ascii="楷体_GB2312" w:hAnsi="楷体_GB2312" w:eastAsia="楷体_GB2312" w:cs="楷体_GB2312"/>
          <w:color w:val="000000"/>
          <w:sz w:val="32"/>
          <w:szCs w:val="32"/>
          <w:lang w:val="en-US" w:eastAsia="zh-CN"/>
        </w:rPr>
        <w:t>灵活就业人员。</w:t>
      </w:r>
      <w:r>
        <w:rPr>
          <w:rFonts w:hint="default" w:ascii="Times New Roman" w:hAnsi="Times New Roman" w:eastAsia="仿宋_GB2312" w:cs="Times New Roman"/>
          <w:color w:val="000000"/>
          <w:sz w:val="32"/>
          <w:szCs w:val="32"/>
          <w:lang w:val="en-US" w:eastAsia="zh-CN"/>
        </w:rPr>
        <w:t>灵活就业人员在与基本医保一致的前提下，可按单位职工参保政策缴费，也可选择按未就业城乡居民参保政策缴费。</w:t>
      </w:r>
    </w:p>
    <w:p w14:paraId="455C80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（五）</w:t>
      </w:r>
      <w:r>
        <w:rPr>
          <w:rFonts w:hint="default" w:ascii="Times New Roman" w:hAnsi="Times New Roman" w:eastAsia="楷体_GB2312" w:cs="Times New Roman"/>
          <w:color w:val="000000"/>
          <w:sz w:val="32"/>
          <w:szCs w:val="32"/>
          <w:lang w:val="en-US" w:eastAsia="zh-CN"/>
        </w:rPr>
        <w:t>18</w:t>
      </w:r>
      <w:r>
        <w:rPr>
          <w:rFonts w:hint="default" w:ascii="楷体_GB2312" w:hAnsi="楷体_GB2312" w:eastAsia="楷体_GB2312" w:cs="楷体_GB2312"/>
          <w:color w:val="000000"/>
          <w:sz w:val="32"/>
          <w:szCs w:val="32"/>
          <w:lang w:val="en-US" w:eastAsia="zh-CN"/>
        </w:rPr>
        <w:t>周岁以下人员。</w:t>
      </w:r>
      <w:r>
        <w:rPr>
          <w:rFonts w:hint="default" w:ascii="Times New Roman" w:hAnsi="Times New Roman" w:eastAsia="仿宋_GB2312" w:cs="Times New Roman"/>
          <w:color w:val="000000"/>
          <w:sz w:val="32"/>
          <w:szCs w:val="32"/>
          <w:lang w:val="en-US" w:eastAsia="zh-CN"/>
        </w:rPr>
        <w:t>自2027年缴费年度起，18周岁以下已参加城乡居民医保人员跟随父母或法定抚养人等参保，不单独筹资，其中孤儿、事实无人抚养儿童等中无法跟从参保的，可视同参保。</w:t>
      </w:r>
    </w:p>
    <w:p w14:paraId="1906EC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（六）</w:t>
      </w:r>
      <w:r>
        <w:rPr>
          <w:rFonts w:hint="default" w:ascii="楷体_GB2312" w:hAnsi="楷体_GB2312" w:eastAsia="楷体_GB2312" w:cs="楷体_GB2312"/>
          <w:color w:val="000000"/>
          <w:sz w:val="32"/>
          <w:szCs w:val="32"/>
          <w:lang w:val="en-US" w:eastAsia="zh-CN"/>
        </w:rPr>
        <w:t>困难人群。</w:t>
      </w:r>
      <w:r>
        <w:rPr>
          <w:rFonts w:hint="default" w:ascii="Times New Roman" w:hAnsi="Times New Roman" w:eastAsia="仿宋_GB2312" w:cs="Times New Roman"/>
          <w:color w:val="000000"/>
          <w:sz w:val="32"/>
          <w:szCs w:val="32"/>
          <w:lang w:val="en-US" w:eastAsia="zh-CN"/>
        </w:rPr>
        <w:t>政府对符合条件的困难人群个人缴费部分予以分类资助。应筹资对象中全额资助与定额资助人员范围与基本医疗保险一致。定额资助标准执行全省统一规定。</w:t>
      </w:r>
    </w:p>
    <w:p w14:paraId="41B243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（七）</w:t>
      </w:r>
      <w:r>
        <w:rPr>
          <w:rFonts w:hint="default" w:ascii="楷体_GB2312" w:hAnsi="楷体_GB2312" w:eastAsia="楷体_GB2312" w:cs="楷体_GB2312"/>
          <w:color w:val="000000"/>
          <w:sz w:val="32"/>
          <w:szCs w:val="32"/>
          <w:lang w:val="en-US" w:eastAsia="zh-CN"/>
        </w:rPr>
        <w:t>保费征收。</w:t>
      </w:r>
      <w:r>
        <w:rPr>
          <w:rFonts w:hint="default" w:ascii="Times New Roman" w:hAnsi="Times New Roman" w:eastAsia="仿宋_GB2312" w:cs="Times New Roman"/>
          <w:color w:val="000000"/>
          <w:sz w:val="32"/>
          <w:szCs w:val="32"/>
          <w:lang w:val="en-US" w:eastAsia="zh-CN"/>
        </w:rPr>
        <w:t>保费由税务部门在征缴医保费时同步征收。在职职工、退休人员和灵活就业人员个人缴费部分可由医保部门从其个人账户中划转。没有个人账户的在征缴职工大额医疗费用补助时同步征收。适时推进退休人员保费由发放基本养老金的社会保险经办机构代扣代缴。</w:t>
      </w:r>
    </w:p>
    <w:p w14:paraId="2F6452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五、待遇政策</w:t>
      </w:r>
    </w:p>
    <w:p w14:paraId="30109C1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起步阶段保障重度失能参保人员。在机构享受的符合规定的长期护理服务费用，按未就业城乡居民参保政策参保的基金支付比例为50%，按单位职工参保政策参保的基金支付比例</w:t>
      </w:r>
      <w:r>
        <w:rPr>
          <w:rFonts w:hint="eastAsia" w:ascii="Times New Roman" w:hAnsi="Times New Roman" w:eastAsia="仿宋_GB2312" w:cs="Times New Roman"/>
          <w:color w:val="000000"/>
          <w:sz w:val="32"/>
          <w:szCs w:val="32"/>
          <w:lang w:val="en-US" w:eastAsia="zh-CN"/>
        </w:rPr>
        <w:t>为70%</w:t>
      </w:r>
      <w:r>
        <w:rPr>
          <w:rFonts w:hint="default" w:ascii="Times New Roman" w:hAnsi="Times New Roman" w:eastAsia="仿宋_GB2312" w:cs="Times New Roman"/>
          <w:color w:val="000000"/>
          <w:sz w:val="32"/>
          <w:szCs w:val="32"/>
          <w:lang w:val="en-US" w:eastAsia="zh-CN"/>
        </w:rPr>
        <w:t>。基金年度最高支付限额暂按现行标准执行，随全省城乡居民人均可支配收入上涨逐步过渡到国家和省规定标准。</w:t>
      </w:r>
      <w:r>
        <w:rPr>
          <w:rFonts w:hint="eastAsia" w:ascii="Times New Roman" w:hAnsi="Times New Roman" w:eastAsia="仿宋_GB2312" w:cs="Times New Roman"/>
          <w:color w:val="000000"/>
          <w:sz w:val="32"/>
          <w:szCs w:val="32"/>
          <w:lang w:val="en-US" w:eastAsia="zh-CN"/>
        </w:rPr>
        <w:t>过渡期内适时组织开展</w:t>
      </w:r>
      <w:r>
        <w:rPr>
          <w:rFonts w:hint="default" w:ascii="Times New Roman" w:hAnsi="Times New Roman" w:eastAsia="仿宋_GB2312" w:cs="Times New Roman"/>
          <w:color w:val="000000"/>
          <w:sz w:val="32"/>
          <w:szCs w:val="32"/>
          <w:lang w:val="en-US" w:eastAsia="zh-CN"/>
        </w:rPr>
        <w:t>居家和社区护理服务</w:t>
      </w:r>
      <w:r>
        <w:rPr>
          <w:rFonts w:hint="eastAsia" w:ascii="Times New Roman" w:hAnsi="Times New Roman" w:eastAsia="仿宋_GB2312" w:cs="Times New Roman"/>
          <w:color w:val="000000"/>
          <w:sz w:val="32"/>
          <w:szCs w:val="32"/>
          <w:lang w:val="en-US" w:eastAsia="zh-CN"/>
        </w:rPr>
        <w:t>，具体办法另行制定下发</w:t>
      </w:r>
      <w:r>
        <w:rPr>
          <w:rFonts w:hint="default" w:ascii="Times New Roman" w:hAnsi="Times New Roman" w:eastAsia="仿宋_GB2312" w:cs="Times New Roman"/>
          <w:color w:val="000000"/>
          <w:sz w:val="32"/>
          <w:szCs w:val="32"/>
          <w:lang w:val="en-US" w:eastAsia="zh-CN"/>
        </w:rPr>
        <w:t>。</w:t>
      </w:r>
    </w:p>
    <w:p w14:paraId="6ED883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六、运行管理</w:t>
      </w:r>
    </w:p>
    <w:p w14:paraId="509668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从</w:t>
      </w:r>
      <w:r>
        <w:rPr>
          <w:rFonts w:hint="default" w:ascii="Times New Roman" w:hAnsi="Times New Roman" w:eastAsia="仿宋_GB2312" w:cs="Times New Roman"/>
          <w:color w:val="000000"/>
          <w:sz w:val="32"/>
          <w:szCs w:val="32"/>
          <w:lang w:val="en-US" w:eastAsia="zh-CN"/>
        </w:rPr>
        <w:t>评估</w:t>
      </w:r>
      <w:r>
        <w:rPr>
          <w:rFonts w:hint="eastAsia" w:ascii="Times New Roman" w:hAnsi="Times New Roman" w:eastAsia="仿宋_GB2312" w:cs="Times New Roman"/>
          <w:color w:val="000000"/>
          <w:sz w:val="32"/>
          <w:szCs w:val="32"/>
          <w:lang w:val="en-US" w:eastAsia="zh-CN"/>
        </w:rPr>
        <w:t>管理</w:t>
      </w:r>
      <w:r>
        <w:rPr>
          <w:rFonts w:hint="default" w:ascii="Times New Roman" w:hAnsi="Times New Roman" w:eastAsia="仿宋_GB2312" w:cs="Times New Roman"/>
          <w:color w:val="000000"/>
          <w:sz w:val="32"/>
          <w:szCs w:val="32"/>
          <w:lang w:val="en-US" w:eastAsia="zh-CN"/>
        </w:rPr>
        <w:t>、服务</w:t>
      </w:r>
      <w:r>
        <w:rPr>
          <w:rFonts w:hint="eastAsia" w:ascii="Times New Roman" w:hAnsi="Times New Roman" w:eastAsia="仿宋_GB2312" w:cs="Times New Roman"/>
          <w:color w:val="000000"/>
          <w:sz w:val="32"/>
          <w:szCs w:val="32"/>
          <w:lang w:val="en-US" w:eastAsia="zh-CN"/>
        </w:rPr>
        <w:t>管理</w:t>
      </w:r>
      <w:r>
        <w:rPr>
          <w:rFonts w:hint="default" w:ascii="Times New Roman" w:hAnsi="Times New Roman" w:eastAsia="仿宋_GB2312" w:cs="Times New Roman"/>
          <w:color w:val="000000"/>
          <w:sz w:val="32"/>
          <w:szCs w:val="32"/>
          <w:lang w:val="en-US" w:eastAsia="zh-CN"/>
        </w:rPr>
        <w:t>、支付</w:t>
      </w:r>
      <w:r>
        <w:rPr>
          <w:rFonts w:hint="eastAsia" w:ascii="Times New Roman" w:hAnsi="Times New Roman" w:eastAsia="仿宋_GB2312" w:cs="Times New Roman"/>
          <w:color w:val="000000"/>
          <w:sz w:val="32"/>
          <w:szCs w:val="32"/>
          <w:lang w:val="en-US" w:eastAsia="zh-CN"/>
        </w:rPr>
        <w:t>管理</w:t>
      </w:r>
      <w:r>
        <w:rPr>
          <w:rFonts w:hint="default" w:ascii="Times New Roman" w:hAnsi="Times New Roman" w:eastAsia="仿宋_GB2312" w:cs="Times New Roman"/>
          <w:color w:val="000000"/>
          <w:sz w:val="32"/>
          <w:szCs w:val="32"/>
          <w:lang w:val="en-US" w:eastAsia="zh-CN"/>
        </w:rPr>
        <w:t>、基金</w:t>
      </w:r>
      <w:r>
        <w:rPr>
          <w:rFonts w:hint="eastAsia" w:ascii="Times New Roman" w:hAnsi="Times New Roman" w:eastAsia="仿宋_GB2312" w:cs="Times New Roman"/>
          <w:color w:val="000000"/>
          <w:sz w:val="32"/>
          <w:szCs w:val="32"/>
          <w:lang w:val="en-US" w:eastAsia="zh-CN"/>
        </w:rPr>
        <w:t>管理</w:t>
      </w:r>
      <w:r>
        <w:rPr>
          <w:rFonts w:hint="default" w:ascii="Times New Roman" w:hAnsi="Times New Roman" w:eastAsia="仿宋_GB2312" w:cs="Times New Roman"/>
          <w:color w:val="000000"/>
          <w:sz w:val="32"/>
          <w:szCs w:val="32"/>
          <w:lang w:val="en-US" w:eastAsia="zh-CN"/>
        </w:rPr>
        <w:t>、监督</w:t>
      </w:r>
      <w:r>
        <w:rPr>
          <w:rFonts w:hint="eastAsia" w:ascii="Times New Roman" w:hAnsi="Times New Roman" w:eastAsia="仿宋_GB2312" w:cs="Times New Roman"/>
          <w:color w:val="000000"/>
          <w:sz w:val="32"/>
          <w:szCs w:val="32"/>
          <w:lang w:val="en-US" w:eastAsia="zh-CN"/>
        </w:rPr>
        <w:t>管理</w:t>
      </w:r>
      <w:r>
        <w:rPr>
          <w:rFonts w:hint="default" w:ascii="Times New Roman" w:hAnsi="Times New Roman" w:eastAsia="仿宋_GB2312" w:cs="Times New Roman"/>
          <w:color w:val="000000"/>
          <w:sz w:val="32"/>
          <w:szCs w:val="32"/>
          <w:lang w:val="en-US" w:eastAsia="zh-CN"/>
        </w:rPr>
        <w:t>、经办</w:t>
      </w:r>
      <w:r>
        <w:rPr>
          <w:rFonts w:hint="eastAsia" w:ascii="Times New Roman" w:hAnsi="Times New Roman" w:eastAsia="仿宋_GB2312" w:cs="Times New Roman"/>
          <w:color w:val="000000"/>
          <w:sz w:val="32"/>
          <w:szCs w:val="32"/>
          <w:lang w:val="en-US" w:eastAsia="zh-CN"/>
        </w:rPr>
        <w:t>管理</w:t>
      </w:r>
      <w:r>
        <w:rPr>
          <w:rFonts w:hint="default" w:ascii="Times New Roman" w:hAnsi="Times New Roman" w:eastAsia="仿宋_GB2312" w:cs="Times New Roman"/>
          <w:color w:val="000000"/>
          <w:sz w:val="32"/>
          <w:szCs w:val="32"/>
          <w:lang w:val="en-US" w:eastAsia="zh-CN"/>
        </w:rPr>
        <w:t>和异地</w:t>
      </w:r>
      <w:r>
        <w:rPr>
          <w:rFonts w:hint="eastAsia" w:ascii="Times New Roman" w:hAnsi="Times New Roman" w:eastAsia="仿宋_GB2312" w:cs="Times New Roman"/>
          <w:color w:val="000000"/>
          <w:sz w:val="32"/>
          <w:szCs w:val="32"/>
          <w:lang w:val="en-US" w:eastAsia="zh-CN"/>
        </w:rPr>
        <w:t>管理</w:t>
      </w:r>
      <w:r>
        <w:rPr>
          <w:rFonts w:hint="default" w:ascii="Times New Roman" w:hAnsi="Times New Roman" w:eastAsia="仿宋_GB2312" w:cs="Times New Roman"/>
          <w:color w:val="000000"/>
          <w:sz w:val="32"/>
          <w:szCs w:val="32"/>
          <w:lang w:val="en-US" w:eastAsia="zh-CN"/>
        </w:rPr>
        <w:t>等7</w:t>
      </w:r>
      <w:r>
        <w:rPr>
          <w:rFonts w:hint="eastAsia" w:ascii="Times New Roman" w:hAnsi="Times New Roman" w:eastAsia="仿宋_GB2312" w:cs="Times New Roman"/>
          <w:color w:val="000000"/>
          <w:sz w:val="32"/>
          <w:szCs w:val="32"/>
          <w:lang w:val="en-US" w:eastAsia="zh-CN"/>
        </w:rPr>
        <w:t>个方面，对长护险运行管理进行统一规范，提出了相应的管理举措，</w:t>
      </w:r>
      <w:r>
        <w:rPr>
          <w:rFonts w:hint="default" w:ascii="Times New Roman" w:hAnsi="Times New Roman" w:eastAsia="仿宋_GB2312" w:cs="Times New Roman"/>
          <w:color w:val="000000"/>
          <w:sz w:val="32"/>
          <w:szCs w:val="32"/>
          <w:lang w:val="en-US" w:eastAsia="zh-CN"/>
        </w:rPr>
        <w:t>包括支持基层医疗卫生机构、养老服务机构提供长期护理保险服务，建立长期照护师培训培养机制，规范社会力量参与经办管理服务等。</w:t>
      </w:r>
    </w:p>
    <w:p w14:paraId="042FCBE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小标宋简体" w:cs="Times New Roman"/>
          <w:b w:val="0"/>
          <w:bCs w:val="0"/>
          <w:sz w:val="44"/>
          <w:szCs w:val="44"/>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7975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6372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86372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844FD"/>
    <w:rsid w:val="05137986"/>
    <w:rsid w:val="05B425EC"/>
    <w:rsid w:val="089D7022"/>
    <w:rsid w:val="0C8D63B9"/>
    <w:rsid w:val="0CDE206B"/>
    <w:rsid w:val="149A15E5"/>
    <w:rsid w:val="149C7285"/>
    <w:rsid w:val="154B10C4"/>
    <w:rsid w:val="15A703A2"/>
    <w:rsid w:val="161C368E"/>
    <w:rsid w:val="16674857"/>
    <w:rsid w:val="1BA66702"/>
    <w:rsid w:val="1CA76EDA"/>
    <w:rsid w:val="21876C47"/>
    <w:rsid w:val="27231852"/>
    <w:rsid w:val="27495CDF"/>
    <w:rsid w:val="27F34957"/>
    <w:rsid w:val="28FE60D3"/>
    <w:rsid w:val="2A4F6835"/>
    <w:rsid w:val="2D4B565F"/>
    <w:rsid w:val="2EF438CF"/>
    <w:rsid w:val="2F551AA3"/>
    <w:rsid w:val="30020039"/>
    <w:rsid w:val="32C6555F"/>
    <w:rsid w:val="33C97FC7"/>
    <w:rsid w:val="343B01DB"/>
    <w:rsid w:val="3A9D754F"/>
    <w:rsid w:val="3B037579"/>
    <w:rsid w:val="3C700C3E"/>
    <w:rsid w:val="3FAF7CCF"/>
    <w:rsid w:val="40D47A68"/>
    <w:rsid w:val="419D24D5"/>
    <w:rsid w:val="43F32E89"/>
    <w:rsid w:val="4AB066F7"/>
    <w:rsid w:val="4C786CBF"/>
    <w:rsid w:val="4D4D26D6"/>
    <w:rsid w:val="4FC568F1"/>
    <w:rsid w:val="50B27189"/>
    <w:rsid w:val="53055690"/>
    <w:rsid w:val="5758495A"/>
    <w:rsid w:val="58B32D47"/>
    <w:rsid w:val="5BEC5FC6"/>
    <w:rsid w:val="6025396A"/>
    <w:rsid w:val="677E01D8"/>
    <w:rsid w:val="6AA77844"/>
    <w:rsid w:val="6B7869D4"/>
    <w:rsid w:val="6D981054"/>
    <w:rsid w:val="6DB4515C"/>
    <w:rsid w:val="77192232"/>
    <w:rsid w:val="7D085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81"/>
    <w:basedOn w:val="8"/>
    <w:qFormat/>
    <w:uiPriority w:val="0"/>
    <w:rPr>
      <w:rFonts w:hint="eastAsia" w:ascii="仿宋_GB2312" w:eastAsia="仿宋_GB2312" w:cs="仿宋_GB2312"/>
      <w:color w:val="000000"/>
      <w:sz w:val="32"/>
      <w:szCs w:val="32"/>
      <w:u w:val="none"/>
    </w:rPr>
  </w:style>
  <w:style w:type="character" w:customStyle="1" w:styleId="11">
    <w:name w:val="font71"/>
    <w:basedOn w:val="8"/>
    <w:qFormat/>
    <w:uiPriority w:val="0"/>
    <w:rPr>
      <w:rFonts w:hint="eastAsia" w:ascii="仿宋_GB2312" w:eastAsia="仿宋_GB2312" w:cs="仿宋_GB2312"/>
      <w:color w:val="000000"/>
      <w:sz w:val="32"/>
      <w:szCs w:val="32"/>
      <w:u w:val="none"/>
    </w:rPr>
  </w:style>
  <w:style w:type="character" w:customStyle="1" w:styleId="12">
    <w:name w:val="font61"/>
    <w:basedOn w:val="8"/>
    <w:qFormat/>
    <w:uiPriority w:val="0"/>
    <w:rPr>
      <w:rFonts w:hint="eastAsia" w:ascii="仿宋_GB2312" w:eastAsia="仿宋_GB2312" w:cs="仿宋_GB2312"/>
      <w:color w:val="000000"/>
      <w:sz w:val="32"/>
      <w:szCs w:val="32"/>
      <w:u w:val="none"/>
    </w:rPr>
  </w:style>
  <w:style w:type="character" w:customStyle="1" w:styleId="13">
    <w:name w:val="font91"/>
    <w:basedOn w:val="8"/>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6378</Words>
  <Characters>6510</Characters>
  <Lines>0</Lines>
  <Paragraphs>0</Paragraphs>
  <TotalTime>0</TotalTime>
  <ScaleCrop>false</ScaleCrop>
  <LinksUpToDate>false</LinksUpToDate>
  <CharactersWithSpaces>6579</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2025-05-20T06:38:00Z</dcterms:created>
  <dc:creator>lyyb2</dc:creator>
  <cp:lastModifiedBy>jin</cp:lastModifiedBy>
  <cp:lastPrinted>2025-05-28T01:45:00Z</cp:lastPrinted>
  <dcterms:modified xsi:type="dcterms:W3CDTF">2026-07-09T02:55:50Z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KSOTemplateDocerSaveRecord">
    <vt:lpwstr>eyJoZGlkIjoiZWJlMzQ1NDhkOGU0Njc0ZDU1ZjYzOGYyMzliY2FlZWUiLCJ1c2VySWQiOiI4OTgzNDk0NDcifQ==</vt:lpwstr>
  </property>
  <property fmtid="{D5CDD505-2E9C-101B-9397-08002B2CF9AE}" pid="4" name="ICV">
    <vt:lpwstr>FF247D476C0A46A09FA656253CCD0920_13</vt:lpwstr>
  </property>
</Properties>
</file>