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hint="eastAsia" w:ascii="方正大标宋简体" w:hAnsi="方正大标宋简体" w:eastAsia="方正大标宋简体" w:cs="方正大标宋简体"/>
          <w:sz w:val="28"/>
          <w:szCs w:val="28"/>
          <w:lang w:eastAsia="zh-CN"/>
        </w:rPr>
      </w:pPr>
      <w:bookmarkStart w:id="0" w:name="_GoBack"/>
      <w:bookmarkEnd w:id="0"/>
    </w:p>
    <w:p>
      <w:pPr>
        <w:keepNext w:val="0"/>
        <w:keepLines w:val="0"/>
        <w:pageBreakBefore w:val="0"/>
        <w:widowControl w:val="0"/>
        <w:shd w:val="clear" w:color="auto" w:fill="auto"/>
        <w:kinsoku/>
        <w:wordWrap/>
        <w:overflowPunct/>
        <w:topLinePunct w:val="0"/>
        <w:autoSpaceDE/>
        <w:autoSpaceDN/>
        <w:bidi w:val="0"/>
        <w:adjustRightInd/>
        <w:snapToGrid/>
        <w:spacing w:line="576" w:lineRule="exact"/>
        <w:jc w:val="center"/>
        <w:textAlignment w:val="auto"/>
        <w:rPr>
          <w:rFonts w:hint="eastAsia" w:ascii="方正大标宋简体" w:hAnsi="方正大标宋简体" w:eastAsia="方正大标宋简体" w:cs="方正大标宋简体"/>
          <w:sz w:val="44"/>
          <w:lang w:eastAsia="zh-CN"/>
        </w:rPr>
      </w:pPr>
      <w:r>
        <w:rPr>
          <w:rFonts w:hint="eastAsia" w:ascii="方正大标宋简体" w:hAnsi="方正大标宋简体" w:eastAsia="方正大标宋简体" w:cs="方正大标宋简体"/>
          <w:sz w:val="44"/>
          <w:lang w:eastAsia="zh-CN"/>
        </w:rPr>
        <w:t>通化市社会信用体系建设促进办法（试行）</w:t>
      </w:r>
    </w:p>
    <w:p>
      <w:pPr>
        <w:keepNext w:val="0"/>
        <w:keepLines w:val="0"/>
        <w:pageBreakBefore w:val="0"/>
        <w:widowControl w:val="0"/>
        <w:shd w:val="clear" w:color="auto" w:fill="auto"/>
        <w:tabs>
          <w:tab w:val="left" w:pos="2544"/>
        </w:tabs>
        <w:kinsoku/>
        <w:wordWrap/>
        <w:overflowPunct/>
        <w:topLinePunct w:val="0"/>
        <w:autoSpaceDE/>
        <w:autoSpaceDN/>
        <w:bidi w:val="0"/>
        <w:adjustRightInd/>
        <w:snapToGrid/>
        <w:spacing w:line="576" w:lineRule="exact"/>
        <w:jc w:val="left"/>
        <w:textAlignment w:val="auto"/>
        <w:rPr>
          <w:rFonts w:hint="eastAsia"/>
          <w:color w:val="auto"/>
          <w:sz w:val="34"/>
          <w:szCs w:val="34"/>
          <w:lang w:eastAsia="zh-CN"/>
        </w:rPr>
      </w:pPr>
      <w:r>
        <w:rPr>
          <w:rFonts w:hint="eastAsia"/>
          <w:color w:val="auto"/>
          <w:sz w:val="34"/>
          <w:szCs w:val="34"/>
          <w:lang w:eastAsia="zh-CN"/>
        </w:rPr>
        <w:tab/>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576" w:lineRule="exact"/>
        <w:jc w:val="center"/>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第一章 总则</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576" w:lineRule="exact"/>
        <w:jc w:val="center"/>
        <w:textAlignment w:val="auto"/>
        <w:rPr>
          <w:rFonts w:hint="eastAsia" w:ascii="黑体" w:hAnsi="黑体" w:eastAsia="黑体" w:cs="黑体"/>
          <w:b w:val="0"/>
          <w:bCs/>
          <w:color w:val="auto"/>
          <w:sz w:val="34"/>
          <w:szCs w:val="34"/>
        </w:rPr>
      </w:pPr>
    </w:p>
    <w:p>
      <w:pPr>
        <w:pStyle w:val="7"/>
        <w:keepNext w:val="0"/>
        <w:keepLines w:val="0"/>
        <w:pageBreakBefore w:val="0"/>
        <w:widowControl w:val="0"/>
        <w:shd w:val="clear" w:color="auto" w:fill="auto"/>
        <w:kinsoku/>
        <w:wordWrap/>
        <w:overflowPunct/>
        <w:topLinePunct/>
        <w:autoSpaceDE w:val="0"/>
        <w:autoSpaceDN/>
        <w:bidi w:val="0"/>
        <w:adjustRightInd/>
        <w:snapToGrid/>
        <w:spacing w:before="0" w:beforeAutospacing="0" w:after="0" w:afterAutospacing="0" w:line="576"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SA"/>
        </w:rPr>
      </w:pPr>
      <w:r>
        <w:rPr>
          <w:rFonts w:hint="eastAsia" w:ascii="黑体" w:hAnsi="黑体" w:eastAsia="黑体" w:cs="黑体"/>
          <w:b w:val="0"/>
          <w:bCs/>
          <w:color w:val="auto"/>
          <w:sz w:val="32"/>
          <w:szCs w:val="32"/>
        </w:rPr>
        <w:t>第一条</w:t>
      </w:r>
      <w:r>
        <w:rPr>
          <w:rFonts w:hint="eastAsia" w:ascii="黑体" w:hAnsi="黑体" w:eastAsia="黑体" w:cs="黑体"/>
          <w:b w:val="0"/>
          <w:bCs/>
          <w:color w:val="auto"/>
          <w:sz w:val="32"/>
          <w:szCs w:val="32"/>
          <w:lang w:val="en-US" w:eastAsia="zh-CN"/>
        </w:rPr>
        <w:t xml:space="preserve"> </w:t>
      </w:r>
      <w:r>
        <w:rPr>
          <w:rFonts w:hint="eastAsia" w:ascii="仿宋_GB2312" w:hAnsi="仿宋_GB2312" w:eastAsia="仿宋_GB2312" w:cs="仿宋_GB2312"/>
          <w:color w:val="000000"/>
          <w:kern w:val="0"/>
          <w:sz w:val="32"/>
          <w:szCs w:val="32"/>
          <w:lang w:val="en-US" w:eastAsia="zh-CN" w:bidi="ar-SA"/>
        </w:rPr>
        <w:t>为促进社会信用建设，规范社会信用服务，健全社会信用体系，保护信用主体合法权益，提高社会诚信水平，打造一流营商环境，根据《吉林省社会信用条例》、《吉林省社会信用体系建设“十四五”规划》等，借鉴外地先进经验，结合本市实际，制定本办法。</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 w:hAnsi="仿宋" w:eastAsia="仿宋" w:cs="仿宋"/>
          <w:color w:val="auto"/>
          <w:sz w:val="32"/>
          <w:szCs w:val="32"/>
        </w:rPr>
      </w:pPr>
      <w:r>
        <w:rPr>
          <w:rFonts w:hint="eastAsia" w:ascii="黑体" w:hAnsi="黑体" w:eastAsia="黑体" w:cs="黑体"/>
          <w:b w:val="0"/>
          <w:bCs/>
          <w:color w:val="auto"/>
          <w:sz w:val="32"/>
          <w:szCs w:val="32"/>
        </w:rPr>
        <w:t>第二条</w:t>
      </w:r>
      <w:r>
        <w:rPr>
          <w:rFonts w:hint="eastAsia" w:ascii="黑体" w:hAnsi="黑体" w:eastAsia="黑体" w:cs="黑体"/>
          <w:b w:val="0"/>
          <w:bCs/>
          <w:color w:val="auto"/>
          <w:sz w:val="32"/>
          <w:szCs w:val="32"/>
          <w:lang w:val="en-US" w:eastAsia="zh-CN"/>
        </w:rPr>
        <w:t xml:space="preserve"> </w:t>
      </w:r>
      <w:r>
        <w:rPr>
          <w:rFonts w:hint="eastAsia" w:ascii="仿宋_GB2312" w:hAnsi="仿宋_GB2312" w:eastAsia="仿宋_GB2312" w:cs="仿宋_GB2312"/>
          <w:color w:val="000000"/>
          <w:kern w:val="0"/>
          <w:sz w:val="32"/>
          <w:szCs w:val="32"/>
          <w:lang w:val="en-US" w:eastAsia="zh-CN" w:bidi="ar-SA"/>
        </w:rPr>
        <w:t>本市行政区域内社会信用环境建设、信用状况认定、信用信息管理、守信激励和失信惩戒、信用服务业发展、信用主体权益保护等活动，适用本办法。</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法律、法规、规章对个人信息保护、征信、企业信息公示等另有规定的，从其规定。</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SA"/>
        </w:rPr>
      </w:pPr>
      <w:r>
        <w:rPr>
          <w:rFonts w:hint="eastAsia" w:ascii="黑体" w:hAnsi="黑体" w:eastAsia="黑体" w:cs="黑体"/>
          <w:b w:val="0"/>
          <w:bCs/>
          <w:color w:val="auto"/>
          <w:sz w:val="32"/>
          <w:szCs w:val="32"/>
        </w:rPr>
        <w:t>第三条</w:t>
      </w:r>
      <w:r>
        <w:rPr>
          <w:rFonts w:hint="eastAsia" w:ascii="黑体" w:hAnsi="黑体" w:eastAsia="黑体" w:cs="黑体"/>
          <w:b w:val="0"/>
          <w:bCs/>
          <w:color w:val="auto"/>
          <w:sz w:val="32"/>
          <w:szCs w:val="32"/>
          <w:lang w:val="en-US" w:eastAsia="zh-CN"/>
        </w:rPr>
        <w:t xml:space="preserve"> </w:t>
      </w:r>
      <w:r>
        <w:rPr>
          <w:rFonts w:hint="eastAsia" w:ascii="仿宋_GB2312" w:hAnsi="仿宋_GB2312" w:eastAsia="仿宋_GB2312" w:cs="仿宋_GB2312"/>
          <w:color w:val="000000"/>
          <w:kern w:val="0"/>
          <w:sz w:val="32"/>
          <w:szCs w:val="32"/>
          <w:lang w:val="en-US" w:eastAsia="zh-CN" w:bidi="ar-SA"/>
        </w:rPr>
        <w:t>社会信用体系建设工作应当坚持党委领导、政府推动、社会共建、统筹规划、信息共享、公正公开、奖惩结合的原则。</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SA"/>
        </w:rPr>
      </w:pPr>
      <w:r>
        <w:rPr>
          <w:rFonts w:hint="eastAsia" w:ascii="黑体" w:hAnsi="黑体" w:eastAsia="黑体" w:cs="黑体"/>
          <w:b w:val="0"/>
          <w:bCs/>
          <w:color w:val="auto"/>
          <w:sz w:val="32"/>
          <w:szCs w:val="32"/>
        </w:rPr>
        <w:t>第四条</w:t>
      </w:r>
      <w:r>
        <w:rPr>
          <w:rFonts w:hint="eastAsia" w:ascii="黑体" w:hAnsi="黑体" w:eastAsia="黑体" w:cs="黑体"/>
          <w:b w:val="0"/>
          <w:bCs/>
          <w:color w:val="auto"/>
          <w:sz w:val="32"/>
          <w:szCs w:val="32"/>
          <w:lang w:val="en-US" w:eastAsia="zh-CN"/>
        </w:rPr>
        <w:t xml:space="preserve"> </w:t>
      </w:r>
      <w:r>
        <w:rPr>
          <w:rFonts w:hint="eastAsia" w:ascii="仿宋_GB2312" w:hAnsi="仿宋_GB2312" w:eastAsia="仿宋_GB2312" w:cs="仿宋_GB2312"/>
          <w:color w:val="000000"/>
          <w:kern w:val="0"/>
          <w:sz w:val="32"/>
          <w:szCs w:val="32"/>
          <w:lang w:val="en-US" w:eastAsia="zh-CN" w:bidi="ar-SA"/>
        </w:rPr>
        <w:t>各级人民政府（含通化医药高新区管委会、吉林通化国际内陆港务区管委会，下同）应当加强对社会信用体系建设工作的领导，组织编制社会信用体系建设规划，落实机构、人员和经费保障，并将其纳入国民经济和社会发展规划，建立健全协调推进机制。</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黑体" w:hAnsi="黑体" w:eastAsia="黑体" w:cs="黑体"/>
          <w:b w:val="0"/>
          <w:bCs/>
          <w:color w:val="auto"/>
          <w:sz w:val="32"/>
          <w:szCs w:val="32"/>
        </w:rPr>
        <w:t>第五条</w:t>
      </w:r>
      <w:r>
        <w:rPr>
          <w:rFonts w:hint="eastAsia" w:ascii="黑体" w:hAnsi="黑体" w:eastAsia="黑体" w:cs="黑体"/>
          <w:b w:val="0"/>
          <w:bCs/>
          <w:color w:val="auto"/>
          <w:sz w:val="32"/>
          <w:szCs w:val="32"/>
          <w:lang w:val="en-US" w:eastAsia="zh-CN"/>
        </w:rPr>
        <w:t xml:space="preserve"> </w:t>
      </w:r>
      <w:r>
        <w:rPr>
          <w:rFonts w:hint="eastAsia" w:ascii="仿宋_GB2312" w:hAnsi="仿宋_GB2312" w:eastAsia="仿宋_GB2312" w:cs="仿宋_GB2312"/>
          <w:color w:val="000000"/>
          <w:kern w:val="0"/>
          <w:sz w:val="32"/>
          <w:szCs w:val="32"/>
          <w:lang w:val="en-US" w:eastAsia="zh-CN"/>
        </w:rPr>
        <w:t>通化市政务服务和数字化建设管理局是全市社会信用主管部门，负责全市社会信用体系建设综合协调和监督管理，承担市社会信用体系建设工作领导小组办公室日常工作。县(市、区)人民政府确定的社会信用主管部门负责本地社会信用体系建设综合协调和监督管理，承担本地社会信用体系建设领导小组办公室日常工作。</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各级人民政府其他部门按照各自职责，做好社会信用体系建设相关工作。</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 w:hAnsi="仿宋" w:eastAsia="仿宋" w:cs="仿宋"/>
          <w:color w:val="auto"/>
          <w:sz w:val="32"/>
          <w:szCs w:val="32"/>
        </w:rPr>
      </w:pPr>
      <w:r>
        <w:rPr>
          <w:rFonts w:hint="eastAsia" w:ascii="黑体" w:hAnsi="黑体" w:eastAsia="黑体" w:cs="黑体"/>
          <w:b w:val="0"/>
          <w:bCs/>
          <w:color w:val="auto"/>
          <w:sz w:val="32"/>
          <w:szCs w:val="32"/>
        </w:rPr>
        <w:t>第六条</w:t>
      </w:r>
      <w:r>
        <w:rPr>
          <w:rFonts w:hint="eastAsia" w:ascii="黑体" w:hAnsi="黑体" w:eastAsia="黑体" w:cs="黑体"/>
          <w:b w:val="0"/>
          <w:bCs/>
          <w:color w:val="auto"/>
          <w:sz w:val="32"/>
          <w:szCs w:val="32"/>
          <w:lang w:val="en-US" w:eastAsia="zh-CN"/>
        </w:rPr>
        <w:t xml:space="preserve"> </w:t>
      </w:r>
      <w:r>
        <w:rPr>
          <w:rFonts w:hint="eastAsia" w:ascii="仿宋_GB2312" w:hAnsi="仿宋_GB2312" w:eastAsia="仿宋_GB2312" w:cs="仿宋_GB2312"/>
          <w:color w:val="000000"/>
          <w:kern w:val="0"/>
          <w:sz w:val="32"/>
          <w:szCs w:val="32"/>
          <w:lang w:val="en-US" w:eastAsia="zh-CN" w:bidi="ar-SA"/>
        </w:rPr>
        <w:t>社会信用体系建设应当注重发挥行业协会商会以及其他社会组织的作用，鼓励、引导社会力量参与信用管理、服务和监督。</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 w:hAnsi="仿宋" w:eastAsia="仿宋" w:cs="仿宋"/>
          <w:color w:val="auto"/>
          <w:sz w:val="32"/>
          <w:szCs w:val="32"/>
        </w:rPr>
      </w:pPr>
    </w:p>
    <w:p>
      <w:pPr>
        <w:pStyle w:val="7"/>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576" w:lineRule="exact"/>
        <w:jc w:val="center"/>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第二章 社会信用环境建设</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576" w:lineRule="exact"/>
        <w:jc w:val="center"/>
        <w:textAlignment w:val="auto"/>
        <w:rPr>
          <w:rFonts w:hint="eastAsia" w:ascii="黑体" w:hAnsi="黑体" w:eastAsia="黑体" w:cs="黑体"/>
          <w:b w:val="0"/>
          <w:bCs/>
          <w:color w:val="auto"/>
          <w:sz w:val="32"/>
          <w:szCs w:val="32"/>
        </w:rPr>
      </w:pPr>
    </w:p>
    <w:p>
      <w:pPr>
        <w:pStyle w:val="7"/>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 w:hAnsi="仿宋" w:eastAsia="仿宋" w:cs="仿宋"/>
          <w:color w:val="auto"/>
          <w:sz w:val="32"/>
          <w:szCs w:val="32"/>
        </w:rPr>
      </w:pPr>
      <w:r>
        <w:rPr>
          <w:rFonts w:hint="eastAsia" w:ascii="黑体" w:hAnsi="黑体" w:eastAsia="黑体" w:cs="黑体"/>
          <w:b w:val="0"/>
          <w:bCs/>
          <w:color w:val="auto"/>
          <w:sz w:val="32"/>
          <w:szCs w:val="32"/>
        </w:rPr>
        <w:t>第</w:t>
      </w:r>
      <w:r>
        <w:rPr>
          <w:rFonts w:hint="eastAsia" w:ascii="黑体" w:hAnsi="黑体" w:eastAsia="黑体" w:cs="黑体"/>
          <w:b w:val="0"/>
          <w:bCs/>
          <w:color w:val="auto"/>
          <w:sz w:val="32"/>
          <w:szCs w:val="32"/>
          <w:lang w:eastAsia="zh-CN"/>
        </w:rPr>
        <w:t>七</w:t>
      </w:r>
      <w:r>
        <w:rPr>
          <w:rFonts w:hint="eastAsia" w:ascii="黑体" w:hAnsi="黑体" w:eastAsia="黑体" w:cs="黑体"/>
          <w:b w:val="0"/>
          <w:bCs/>
          <w:color w:val="auto"/>
          <w:sz w:val="32"/>
          <w:szCs w:val="32"/>
        </w:rPr>
        <w:t>条</w:t>
      </w:r>
      <w:r>
        <w:rPr>
          <w:rFonts w:hint="eastAsia" w:ascii="黑体" w:hAnsi="黑体" w:eastAsia="黑体" w:cs="黑体"/>
          <w:b w:val="0"/>
          <w:bCs/>
          <w:color w:val="auto"/>
          <w:sz w:val="32"/>
          <w:szCs w:val="32"/>
          <w:lang w:val="en-US" w:eastAsia="zh-CN"/>
        </w:rPr>
        <w:t xml:space="preserve"> </w:t>
      </w:r>
      <w:r>
        <w:rPr>
          <w:rFonts w:hint="eastAsia" w:ascii="仿宋_GB2312" w:hAnsi="仿宋_GB2312" w:eastAsia="仿宋_GB2312" w:cs="仿宋_GB2312"/>
          <w:color w:val="000000"/>
          <w:kern w:val="0"/>
          <w:sz w:val="32"/>
          <w:szCs w:val="32"/>
          <w:lang w:val="en-US" w:eastAsia="zh-CN" w:bidi="ar-SA"/>
        </w:rPr>
        <w:t>建立健全社会信用体系，加强政务诚信、商务诚信、社会诚信和司法公信等重点领域诚信建设。</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黑体" w:hAnsi="黑体" w:eastAsia="黑体" w:cs="黑体"/>
          <w:b w:val="0"/>
          <w:bCs/>
          <w:color w:val="auto"/>
          <w:sz w:val="32"/>
          <w:szCs w:val="32"/>
        </w:rPr>
        <w:t>第</w:t>
      </w:r>
      <w:r>
        <w:rPr>
          <w:rFonts w:hint="eastAsia" w:ascii="黑体" w:hAnsi="黑体" w:eastAsia="黑体" w:cs="黑体"/>
          <w:b w:val="0"/>
          <w:bCs/>
          <w:color w:val="auto"/>
          <w:sz w:val="32"/>
          <w:szCs w:val="32"/>
          <w:lang w:eastAsia="zh-CN"/>
        </w:rPr>
        <w:t>八</w:t>
      </w:r>
      <w:r>
        <w:rPr>
          <w:rFonts w:hint="eastAsia" w:ascii="黑体" w:hAnsi="黑体" w:eastAsia="黑体" w:cs="黑体"/>
          <w:b w:val="0"/>
          <w:bCs/>
          <w:color w:val="auto"/>
          <w:sz w:val="32"/>
          <w:szCs w:val="32"/>
        </w:rPr>
        <w:t>条</w:t>
      </w:r>
      <w:r>
        <w:rPr>
          <w:rFonts w:hint="eastAsia" w:ascii="黑体" w:hAnsi="黑体" w:eastAsia="黑体" w:cs="黑体"/>
          <w:b w:val="0"/>
          <w:bCs/>
          <w:color w:val="auto"/>
          <w:sz w:val="32"/>
          <w:szCs w:val="32"/>
          <w:lang w:val="en-US" w:eastAsia="zh-CN"/>
        </w:rPr>
        <w:t xml:space="preserve"> </w:t>
      </w:r>
      <w:r>
        <w:rPr>
          <w:rFonts w:hint="eastAsia" w:ascii="仿宋_GB2312" w:hAnsi="仿宋_GB2312" w:eastAsia="仿宋_GB2312" w:cs="仿宋_GB2312"/>
          <w:color w:val="000000"/>
          <w:kern w:val="0"/>
          <w:sz w:val="32"/>
          <w:szCs w:val="32"/>
          <w:lang w:val="en-US" w:eastAsia="zh-CN"/>
        </w:rPr>
        <w:t>各级人民政府及其有关部门应当依法履职、诚信施政，增强决策透明度，提升政府公信力，在社会信用体系建设中发挥示范表率作用。</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各级人民政府及其有关部门应当履行向市场主体依法作出的政策承诺以及依法订立的各类合同，不得以行政区划调整、政府换届、机构或者职能调整以及相关责任人更替等为由违约毁约。因国家利益、社会公共利益、法律法规变动、上级规定调整等需要改变政策承诺、变更合同约定的，应当依照法定权限和程序进行，并依法对市场主体因此受到的损失予以补偿。</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 w:hAnsi="仿宋" w:eastAsia="仿宋" w:cs="仿宋"/>
          <w:color w:val="auto"/>
          <w:sz w:val="32"/>
          <w:szCs w:val="32"/>
        </w:rPr>
      </w:pPr>
      <w:r>
        <w:rPr>
          <w:rFonts w:hint="eastAsia" w:ascii="仿宋_GB2312" w:hAnsi="仿宋_GB2312" w:eastAsia="仿宋_GB2312" w:cs="仿宋_GB2312"/>
          <w:color w:val="000000"/>
          <w:kern w:val="0"/>
          <w:sz w:val="32"/>
          <w:szCs w:val="32"/>
          <w:lang w:val="en-US" w:eastAsia="zh-CN"/>
        </w:rPr>
        <w:t>各级人民政府及其有关部门在履职过程中发生违法违约行为，被依法追究责任的，相关信息应当纳入政务失信记录。</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黑体" w:hAnsi="黑体" w:eastAsia="黑体" w:cs="黑体"/>
          <w:b w:val="0"/>
          <w:bCs/>
          <w:color w:val="auto"/>
          <w:sz w:val="32"/>
          <w:szCs w:val="32"/>
        </w:rPr>
        <w:t>第</w:t>
      </w:r>
      <w:r>
        <w:rPr>
          <w:rFonts w:hint="eastAsia" w:ascii="黑体" w:hAnsi="黑体" w:eastAsia="黑体" w:cs="黑体"/>
          <w:b w:val="0"/>
          <w:bCs/>
          <w:color w:val="auto"/>
          <w:sz w:val="32"/>
          <w:szCs w:val="32"/>
          <w:lang w:eastAsia="zh-CN"/>
        </w:rPr>
        <w:t>九</w:t>
      </w:r>
      <w:r>
        <w:rPr>
          <w:rFonts w:hint="eastAsia" w:ascii="黑体" w:hAnsi="黑体" w:eastAsia="黑体" w:cs="黑体"/>
          <w:b w:val="0"/>
          <w:bCs/>
          <w:color w:val="auto"/>
          <w:sz w:val="32"/>
          <w:szCs w:val="32"/>
        </w:rPr>
        <w:t>条</w:t>
      </w:r>
      <w:r>
        <w:rPr>
          <w:rFonts w:hint="eastAsia" w:ascii="黑体" w:hAnsi="黑体" w:eastAsia="黑体" w:cs="黑体"/>
          <w:b w:val="0"/>
          <w:bCs/>
          <w:color w:val="auto"/>
          <w:sz w:val="32"/>
          <w:szCs w:val="32"/>
          <w:lang w:val="en-US" w:eastAsia="zh-CN"/>
        </w:rPr>
        <w:t xml:space="preserve"> </w:t>
      </w:r>
      <w:r>
        <w:rPr>
          <w:rFonts w:hint="eastAsia" w:ascii="仿宋_GB2312" w:hAnsi="仿宋_GB2312" w:eastAsia="仿宋_GB2312" w:cs="仿宋_GB2312"/>
          <w:color w:val="000000"/>
          <w:kern w:val="0"/>
          <w:sz w:val="32"/>
          <w:szCs w:val="32"/>
          <w:lang w:val="en-US" w:eastAsia="zh-CN"/>
        </w:rPr>
        <w:t>市场主体应当增强法治意识、契约精神，遵守法律法规、行业规约，诚信履约、公平竞争。</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鼓励市场主体在生产经营、市场交易等活动中使用社会信用信息和信用评价结果，防范交易风险。</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 w:hAnsi="仿宋" w:eastAsia="仿宋" w:cs="仿宋"/>
          <w:color w:val="auto"/>
          <w:sz w:val="32"/>
          <w:szCs w:val="32"/>
        </w:rPr>
      </w:pPr>
      <w:r>
        <w:rPr>
          <w:rFonts w:hint="eastAsia" w:ascii="仿宋_GB2312" w:hAnsi="仿宋_GB2312" w:eastAsia="仿宋_GB2312" w:cs="仿宋_GB2312"/>
          <w:color w:val="000000"/>
          <w:kern w:val="0"/>
          <w:sz w:val="32"/>
          <w:szCs w:val="32"/>
          <w:lang w:val="en-US" w:eastAsia="zh-CN"/>
        </w:rPr>
        <w:t>各级人民政府及其有关部门应当建立健全贯穿市场主体全生命周期信用管理制度，加强安全生产、产品质量、商贸流通、金融税务、工程建设、交通运输、电子商务、中介服务、校外培训等领域的信用管理和服务。</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黑体" w:hAnsi="黑体" w:eastAsia="黑体" w:cs="黑体"/>
          <w:b w:val="0"/>
          <w:bCs/>
          <w:color w:val="auto"/>
          <w:sz w:val="32"/>
          <w:szCs w:val="32"/>
        </w:rPr>
        <w:t>第十条</w:t>
      </w:r>
      <w:r>
        <w:rPr>
          <w:rFonts w:hint="eastAsia" w:ascii="黑体" w:hAnsi="黑体" w:eastAsia="黑体" w:cs="黑体"/>
          <w:b w:val="0"/>
          <w:bCs/>
          <w:color w:val="auto"/>
          <w:sz w:val="32"/>
          <w:szCs w:val="32"/>
          <w:lang w:val="en-US" w:eastAsia="zh-CN"/>
        </w:rPr>
        <w:t xml:space="preserve"> </w:t>
      </w:r>
      <w:r>
        <w:rPr>
          <w:rFonts w:hint="eastAsia" w:ascii="仿宋_GB2312" w:hAnsi="仿宋_GB2312" w:eastAsia="仿宋_GB2312" w:cs="仿宋_GB2312"/>
          <w:color w:val="000000"/>
          <w:kern w:val="0"/>
          <w:sz w:val="32"/>
          <w:szCs w:val="32"/>
          <w:lang w:val="en-US" w:eastAsia="zh-CN"/>
        </w:rPr>
        <w:t>社会成员应当遵循诚信原则，践行社会主义核心价值观，遵守法律法规，秉持诚实、恪守承诺。</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社会成员应当树立信用意识，关注自身信用状况，维护自身良好信用。</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各级人民政府及其有关部门应当加强社会诚信建设，在社会治理中推动信用管理方式创新，加强对劳动保护、社会保障、教育科研、医疗卫生、文化旅游、生态环境、互联网应用服务等领域的信用管理和服务。</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各级人民政府及其有关部门应当加强重点人群职业信用建设，推广使用职业信用报告，引导职业道德建设与行为规范。</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SA"/>
        </w:rPr>
      </w:pPr>
      <w:r>
        <w:rPr>
          <w:rFonts w:hint="eastAsia" w:ascii="黑体" w:hAnsi="黑体" w:eastAsia="黑体" w:cs="黑体"/>
          <w:b w:val="0"/>
          <w:bCs/>
          <w:color w:val="auto"/>
          <w:sz w:val="32"/>
          <w:szCs w:val="32"/>
        </w:rPr>
        <w:t>第十</w:t>
      </w:r>
      <w:r>
        <w:rPr>
          <w:rFonts w:hint="eastAsia" w:ascii="黑体" w:hAnsi="黑体" w:eastAsia="黑体" w:cs="黑体"/>
          <w:b w:val="0"/>
          <w:bCs/>
          <w:color w:val="auto"/>
          <w:sz w:val="32"/>
          <w:szCs w:val="32"/>
          <w:lang w:eastAsia="zh-CN"/>
        </w:rPr>
        <w:t>一</w:t>
      </w:r>
      <w:r>
        <w:rPr>
          <w:rFonts w:hint="eastAsia" w:ascii="黑体" w:hAnsi="黑体" w:eastAsia="黑体" w:cs="黑体"/>
          <w:b w:val="0"/>
          <w:bCs/>
          <w:color w:val="auto"/>
          <w:sz w:val="32"/>
          <w:szCs w:val="32"/>
        </w:rPr>
        <w:t>条</w:t>
      </w:r>
      <w:r>
        <w:rPr>
          <w:rFonts w:hint="eastAsia" w:ascii="黑体" w:hAnsi="黑体" w:eastAsia="黑体" w:cs="黑体"/>
          <w:b w:val="0"/>
          <w:bCs/>
          <w:color w:val="auto"/>
          <w:sz w:val="32"/>
          <w:szCs w:val="32"/>
          <w:lang w:val="en-US" w:eastAsia="zh-CN"/>
        </w:rPr>
        <w:t xml:space="preserve"> </w:t>
      </w:r>
      <w:r>
        <w:rPr>
          <w:rFonts w:hint="eastAsia" w:ascii="仿宋_GB2312" w:hAnsi="仿宋_GB2312" w:eastAsia="仿宋_GB2312" w:cs="仿宋_GB2312"/>
          <w:color w:val="000000"/>
          <w:kern w:val="0"/>
          <w:sz w:val="32"/>
          <w:szCs w:val="32"/>
          <w:lang w:val="en-US" w:eastAsia="zh-CN" w:bidi="ar-SA"/>
        </w:rPr>
        <w:t>司法机关应当依法履行职能，推进司法公开，维护公平正义，增强司法公信力。</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 w:hAnsi="仿宋" w:eastAsia="仿宋" w:cs="仿宋"/>
          <w:color w:val="auto"/>
          <w:sz w:val="32"/>
          <w:szCs w:val="32"/>
        </w:rPr>
      </w:pPr>
      <w:r>
        <w:rPr>
          <w:rFonts w:hint="eastAsia" w:ascii="黑体" w:hAnsi="黑体" w:eastAsia="黑体" w:cs="黑体"/>
          <w:b w:val="0"/>
          <w:bCs/>
          <w:color w:val="auto"/>
          <w:sz w:val="32"/>
          <w:szCs w:val="32"/>
        </w:rPr>
        <w:t>第十</w:t>
      </w:r>
      <w:r>
        <w:rPr>
          <w:rFonts w:hint="eastAsia" w:ascii="黑体" w:hAnsi="黑体" w:eastAsia="黑体" w:cs="黑体"/>
          <w:b w:val="0"/>
          <w:bCs/>
          <w:color w:val="auto"/>
          <w:sz w:val="32"/>
          <w:szCs w:val="32"/>
          <w:lang w:eastAsia="zh-CN"/>
        </w:rPr>
        <w:t>二</w:t>
      </w:r>
      <w:r>
        <w:rPr>
          <w:rFonts w:hint="eastAsia" w:ascii="黑体" w:hAnsi="黑体" w:eastAsia="黑体" w:cs="黑体"/>
          <w:b w:val="0"/>
          <w:bCs/>
          <w:color w:val="auto"/>
          <w:sz w:val="32"/>
          <w:szCs w:val="32"/>
        </w:rPr>
        <w:t>条</w:t>
      </w:r>
      <w:r>
        <w:rPr>
          <w:rFonts w:hint="eastAsia" w:ascii="黑体" w:hAnsi="黑体" w:eastAsia="黑体" w:cs="黑体"/>
          <w:b w:val="0"/>
          <w:bCs/>
          <w:color w:val="auto"/>
          <w:sz w:val="32"/>
          <w:szCs w:val="32"/>
          <w:lang w:val="en-US" w:eastAsia="zh-CN"/>
        </w:rPr>
        <w:t xml:space="preserve"> </w:t>
      </w:r>
      <w:r>
        <w:rPr>
          <w:rFonts w:hint="eastAsia" w:ascii="仿宋_GB2312" w:hAnsi="仿宋_GB2312" w:eastAsia="仿宋_GB2312" w:cs="仿宋_GB2312"/>
          <w:color w:val="000000"/>
          <w:kern w:val="0"/>
          <w:sz w:val="32"/>
          <w:szCs w:val="32"/>
          <w:lang w:val="en-US" w:eastAsia="zh-CN" w:bidi="ar-SA"/>
        </w:rPr>
        <w:t>社会信用主管部门应当推动建立行业、领域、区域信用监测预警机制，防范和化解信用风险。</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黑体" w:hAnsi="黑体" w:eastAsia="黑体" w:cs="黑体"/>
          <w:b w:val="0"/>
          <w:bCs/>
          <w:color w:val="auto"/>
          <w:sz w:val="32"/>
          <w:szCs w:val="32"/>
        </w:rPr>
        <w:t>第十</w:t>
      </w:r>
      <w:r>
        <w:rPr>
          <w:rFonts w:hint="eastAsia" w:ascii="黑体" w:hAnsi="黑体" w:eastAsia="黑体" w:cs="黑体"/>
          <w:b w:val="0"/>
          <w:bCs/>
          <w:color w:val="auto"/>
          <w:sz w:val="32"/>
          <w:szCs w:val="32"/>
          <w:lang w:eastAsia="zh-CN"/>
        </w:rPr>
        <w:t>三</w:t>
      </w:r>
      <w:r>
        <w:rPr>
          <w:rFonts w:hint="eastAsia" w:ascii="黑体" w:hAnsi="黑体" w:eastAsia="黑体" w:cs="黑体"/>
          <w:b w:val="0"/>
          <w:bCs/>
          <w:color w:val="auto"/>
          <w:sz w:val="32"/>
          <w:szCs w:val="32"/>
        </w:rPr>
        <w:t>条</w:t>
      </w:r>
      <w:r>
        <w:rPr>
          <w:rFonts w:hint="eastAsia" w:ascii="黑体" w:hAnsi="黑体" w:eastAsia="黑体" w:cs="黑体"/>
          <w:b w:val="0"/>
          <w:bCs/>
          <w:color w:val="auto"/>
          <w:sz w:val="32"/>
          <w:szCs w:val="32"/>
          <w:lang w:val="en-US" w:eastAsia="zh-CN"/>
        </w:rPr>
        <w:t xml:space="preserve"> </w:t>
      </w:r>
      <w:r>
        <w:rPr>
          <w:rFonts w:hint="eastAsia" w:ascii="仿宋_GB2312" w:hAnsi="仿宋_GB2312" w:eastAsia="仿宋_GB2312" w:cs="仿宋_GB2312"/>
          <w:color w:val="000000"/>
          <w:kern w:val="0"/>
          <w:sz w:val="32"/>
          <w:szCs w:val="32"/>
          <w:lang w:val="en-US" w:eastAsia="zh-CN"/>
        </w:rPr>
        <w:t>各级人民政府应当加强诚信教育，开展社会公德、职业道德、家庭美德和个人品德教育。</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教育、人力资源和社会保障、公务员管理、有关职业培训机构等，应当将诚信教育和信用知识纳入教学、培训的内容。</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鼓励本市中高等学校设置信用管理专业或者开设相关课程。</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SA"/>
        </w:rPr>
      </w:pPr>
      <w:r>
        <w:rPr>
          <w:rFonts w:hint="eastAsia" w:ascii="黑体" w:hAnsi="黑体" w:eastAsia="黑体" w:cs="黑体"/>
          <w:b w:val="0"/>
          <w:bCs/>
          <w:color w:val="auto"/>
          <w:sz w:val="32"/>
          <w:szCs w:val="32"/>
        </w:rPr>
        <w:t>第十</w:t>
      </w:r>
      <w:r>
        <w:rPr>
          <w:rFonts w:hint="eastAsia" w:ascii="黑体" w:hAnsi="黑体" w:eastAsia="黑体" w:cs="黑体"/>
          <w:b w:val="0"/>
          <w:bCs/>
          <w:color w:val="auto"/>
          <w:sz w:val="32"/>
          <w:szCs w:val="32"/>
          <w:lang w:eastAsia="zh-CN"/>
        </w:rPr>
        <w:t>四</w:t>
      </w:r>
      <w:r>
        <w:rPr>
          <w:rFonts w:hint="eastAsia" w:ascii="黑体" w:hAnsi="黑体" w:eastAsia="黑体" w:cs="黑体"/>
          <w:b w:val="0"/>
          <w:bCs/>
          <w:color w:val="auto"/>
          <w:sz w:val="32"/>
          <w:szCs w:val="32"/>
        </w:rPr>
        <w:t>条</w:t>
      </w:r>
      <w:r>
        <w:rPr>
          <w:rFonts w:hint="eastAsia" w:ascii="黑体" w:hAnsi="黑体" w:eastAsia="黑体" w:cs="黑体"/>
          <w:b w:val="0"/>
          <w:bCs/>
          <w:color w:val="auto"/>
          <w:sz w:val="32"/>
          <w:szCs w:val="32"/>
          <w:lang w:val="en-US" w:eastAsia="zh-CN"/>
        </w:rPr>
        <w:t xml:space="preserve"> </w:t>
      </w:r>
      <w:r>
        <w:rPr>
          <w:rFonts w:hint="eastAsia" w:ascii="仿宋_GB2312" w:hAnsi="仿宋_GB2312" w:eastAsia="仿宋_GB2312" w:cs="仿宋_GB2312"/>
          <w:color w:val="000000"/>
          <w:kern w:val="0"/>
          <w:sz w:val="32"/>
          <w:szCs w:val="32"/>
          <w:lang w:val="en-US" w:eastAsia="zh-CN" w:bidi="ar-SA"/>
        </w:rPr>
        <w:t>各级人民政府及其有关部门应当加强诚信文化宣传。</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广播、电视、报刊、互联网等媒体应当开展社会信用体系建设、信用主体权益保护公益性宣传，普及信用知识，提高公众信用意识，对损害信用主体合法权益的行为进行舆论监督。</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SA"/>
        </w:rPr>
      </w:pPr>
      <w:r>
        <w:rPr>
          <w:rFonts w:hint="eastAsia" w:ascii="黑体" w:hAnsi="黑体" w:eastAsia="黑体" w:cs="黑体"/>
          <w:b w:val="0"/>
          <w:bCs/>
          <w:color w:val="auto"/>
          <w:sz w:val="32"/>
          <w:szCs w:val="32"/>
        </w:rPr>
        <w:t>第十</w:t>
      </w:r>
      <w:r>
        <w:rPr>
          <w:rFonts w:hint="eastAsia" w:ascii="黑体" w:hAnsi="黑体" w:eastAsia="黑体" w:cs="黑体"/>
          <w:b w:val="0"/>
          <w:bCs/>
          <w:color w:val="auto"/>
          <w:sz w:val="32"/>
          <w:szCs w:val="32"/>
          <w:lang w:eastAsia="zh-CN"/>
        </w:rPr>
        <w:t>五</w:t>
      </w:r>
      <w:r>
        <w:rPr>
          <w:rFonts w:hint="eastAsia" w:ascii="黑体" w:hAnsi="黑体" w:eastAsia="黑体" w:cs="黑体"/>
          <w:b w:val="0"/>
          <w:bCs/>
          <w:color w:val="auto"/>
          <w:sz w:val="32"/>
          <w:szCs w:val="32"/>
        </w:rPr>
        <w:t>条</w:t>
      </w:r>
      <w:r>
        <w:rPr>
          <w:rFonts w:hint="eastAsia" w:ascii="黑体" w:hAnsi="黑体" w:eastAsia="黑体" w:cs="黑体"/>
          <w:b w:val="0"/>
          <w:bCs/>
          <w:color w:val="auto"/>
          <w:sz w:val="32"/>
          <w:szCs w:val="32"/>
          <w:lang w:val="en-US" w:eastAsia="zh-CN"/>
        </w:rPr>
        <w:t xml:space="preserve"> </w:t>
      </w:r>
      <w:r>
        <w:rPr>
          <w:rFonts w:hint="eastAsia" w:ascii="仿宋_GB2312" w:hAnsi="仿宋_GB2312" w:eastAsia="仿宋_GB2312" w:cs="仿宋_GB2312"/>
          <w:color w:val="000000"/>
          <w:kern w:val="0"/>
          <w:sz w:val="32"/>
          <w:szCs w:val="32"/>
          <w:lang w:val="en-US" w:eastAsia="zh-CN" w:bidi="ar-SA"/>
        </w:rPr>
        <w:t>积极鼓励并大力支持创建社会信用体系建设示范区、示范行业、诚信企业、诚信乡镇（街道）、诚信村居（社区）。</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黑体" w:hAnsi="黑体" w:eastAsia="黑体" w:cs="黑体"/>
          <w:b w:val="0"/>
          <w:bCs/>
          <w:color w:val="auto"/>
          <w:sz w:val="32"/>
          <w:szCs w:val="32"/>
        </w:rPr>
        <w:t>第十</w:t>
      </w:r>
      <w:r>
        <w:rPr>
          <w:rFonts w:hint="eastAsia" w:ascii="黑体" w:hAnsi="黑体" w:eastAsia="黑体" w:cs="黑体"/>
          <w:b w:val="0"/>
          <w:bCs/>
          <w:color w:val="auto"/>
          <w:sz w:val="32"/>
          <w:szCs w:val="32"/>
          <w:lang w:eastAsia="zh-CN"/>
        </w:rPr>
        <w:t>六</w:t>
      </w:r>
      <w:r>
        <w:rPr>
          <w:rFonts w:hint="eastAsia" w:ascii="黑体" w:hAnsi="黑体" w:eastAsia="黑体" w:cs="黑体"/>
          <w:b w:val="0"/>
          <w:bCs/>
          <w:color w:val="auto"/>
          <w:sz w:val="32"/>
          <w:szCs w:val="32"/>
        </w:rPr>
        <w:t>条</w:t>
      </w:r>
      <w:r>
        <w:rPr>
          <w:rFonts w:hint="eastAsia" w:ascii="黑体" w:hAnsi="黑体" w:eastAsia="黑体" w:cs="黑体"/>
          <w:b w:val="0"/>
          <w:bCs/>
          <w:color w:val="auto"/>
          <w:sz w:val="32"/>
          <w:szCs w:val="32"/>
          <w:lang w:val="en-US" w:eastAsia="zh-CN"/>
        </w:rPr>
        <w:t xml:space="preserve"> </w:t>
      </w:r>
      <w:r>
        <w:rPr>
          <w:rFonts w:hint="eastAsia" w:ascii="仿宋_GB2312" w:hAnsi="仿宋_GB2312" w:eastAsia="仿宋_GB2312" w:cs="仿宋_GB2312"/>
          <w:color w:val="000000"/>
          <w:kern w:val="0"/>
          <w:sz w:val="32"/>
          <w:szCs w:val="32"/>
          <w:lang w:val="en-US" w:eastAsia="zh-CN"/>
        </w:rPr>
        <w:t>社会信用主管部门对同级有关部门、下一级人民政府社会信用体系建设工作开展年度高质量发展综合绩效评价，依法履行下列职责：</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（一）拟订社会信用体系建设规划；</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（二）组织制定社会信用管理制度和标准规范；</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（三）指导协调有关部门和行业开展信用建设，推动企业事业单位实施信用管理；</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（四）推进公共信用信息系统建设，推动信用信息归集、共享、应用；</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（五）培育引导信用服务行业规范发展；</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（六）组织开展诚信宣传、信用教育、信用管理和服务人才培训；</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（七）统筹信用修复工作，强化信用修复监督管理；</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 w:hAnsi="仿宋" w:eastAsia="仿宋" w:cs="仿宋"/>
          <w:color w:val="auto"/>
          <w:sz w:val="32"/>
          <w:szCs w:val="32"/>
        </w:rPr>
      </w:pPr>
      <w:r>
        <w:rPr>
          <w:rFonts w:hint="eastAsia" w:ascii="仿宋_GB2312" w:hAnsi="仿宋_GB2312" w:eastAsia="仿宋_GB2312" w:cs="仿宋_GB2312"/>
          <w:color w:val="000000"/>
          <w:kern w:val="0"/>
          <w:sz w:val="32"/>
          <w:szCs w:val="32"/>
          <w:lang w:val="en-US" w:eastAsia="zh-CN"/>
        </w:rPr>
        <w:t>（八）法律法规和规章规定的其他信用管理职责。</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黑体" w:hAnsi="黑体" w:eastAsia="黑体" w:cs="黑体"/>
          <w:b w:val="0"/>
          <w:bCs/>
          <w:color w:val="auto"/>
          <w:sz w:val="32"/>
          <w:szCs w:val="32"/>
        </w:rPr>
        <w:t>第十</w:t>
      </w:r>
      <w:r>
        <w:rPr>
          <w:rFonts w:hint="eastAsia" w:ascii="黑体" w:hAnsi="黑体" w:eastAsia="黑体" w:cs="黑体"/>
          <w:b w:val="0"/>
          <w:bCs/>
          <w:color w:val="auto"/>
          <w:sz w:val="32"/>
          <w:szCs w:val="32"/>
          <w:lang w:eastAsia="zh-CN"/>
        </w:rPr>
        <w:t>七</w:t>
      </w:r>
      <w:r>
        <w:rPr>
          <w:rFonts w:hint="eastAsia" w:ascii="黑体" w:hAnsi="黑体" w:eastAsia="黑体" w:cs="黑体"/>
          <w:b w:val="0"/>
          <w:bCs/>
          <w:color w:val="auto"/>
          <w:sz w:val="32"/>
          <w:szCs w:val="32"/>
        </w:rPr>
        <w:t>条</w:t>
      </w:r>
      <w:r>
        <w:rPr>
          <w:rFonts w:hint="eastAsia" w:ascii="黑体" w:hAnsi="黑体" w:eastAsia="黑体" w:cs="黑体"/>
          <w:b w:val="0"/>
          <w:bCs/>
          <w:color w:val="auto"/>
          <w:sz w:val="32"/>
          <w:szCs w:val="32"/>
          <w:lang w:val="en-US" w:eastAsia="zh-CN"/>
        </w:rPr>
        <w:t xml:space="preserve"> </w:t>
      </w:r>
      <w:r>
        <w:rPr>
          <w:rFonts w:hint="eastAsia" w:ascii="仿宋_GB2312" w:hAnsi="仿宋_GB2312" w:eastAsia="仿宋_GB2312" w:cs="仿宋_GB2312"/>
          <w:color w:val="000000"/>
          <w:kern w:val="0"/>
          <w:sz w:val="32"/>
          <w:szCs w:val="32"/>
          <w:lang w:val="en-US" w:eastAsia="zh-CN"/>
        </w:rPr>
        <w:t>负有社会信用管理职责的国家机关和法律、法规授权的具有管理公共事务职能的组织，应当加强本行业、本领域信用管理，依法履行下列职责：</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（一）制定行业领域信用管理制度；</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（二）记录、归集、共享和公开公共信用信息；</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（三）认定信用状况；</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（四）对信用主体实行信用分级分类监督管理；</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（五）实施守信激励和失信惩戒；</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（六）办理异议处理、信用修复；</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（七）法律法规和规章规定的其他信用管理职责。</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SA"/>
        </w:rPr>
      </w:pPr>
      <w:r>
        <w:rPr>
          <w:rFonts w:hint="eastAsia" w:ascii="黑体" w:hAnsi="黑体" w:eastAsia="黑体" w:cs="黑体"/>
          <w:b w:val="0"/>
          <w:bCs/>
          <w:color w:val="auto"/>
          <w:sz w:val="32"/>
          <w:szCs w:val="32"/>
        </w:rPr>
        <w:t>第十</w:t>
      </w:r>
      <w:r>
        <w:rPr>
          <w:rFonts w:hint="eastAsia" w:ascii="黑体" w:hAnsi="黑体" w:eastAsia="黑体" w:cs="黑体"/>
          <w:b w:val="0"/>
          <w:bCs/>
          <w:color w:val="auto"/>
          <w:sz w:val="32"/>
          <w:szCs w:val="32"/>
          <w:lang w:eastAsia="zh-CN"/>
        </w:rPr>
        <w:t>八</w:t>
      </w:r>
      <w:r>
        <w:rPr>
          <w:rFonts w:hint="eastAsia" w:ascii="黑体" w:hAnsi="黑体" w:eastAsia="黑体" w:cs="黑体"/>
          <w:b w:val="0"/>
          <w:bCs/>
          <w:color w:val="auto"/>
          <w:sz w:val="32"/>
          <w:szCs w:val="32"/>
        </w:rPr>
        <w:t>条</w:t>
      </w:r>
      <w:r>
        <w:rPr>
          <w:rFonts w:hint="eastAsia" w:ascii="黑体" w:hAnsi="黑体" w:eastAsia="黑体" w:cs="黑体"/>
          <w:b w:val="0"/>
          <w:bCs/>
          <w:color w:val="auto"/>
          <w:sz w:val="32"/>
          <w:szCs w:val="32"/>
          <w:lang w:val="en-US" w:eastAsia="zh-CN"/>
        </w:rPr>
        <w:t xml:space="preserve"> </w:t>
      </w:r>
      <w:r>
        <w:rPr>
          <w:rFonts w:hint="eastAsia" w:ascii="仿宋_GB2312" w:hAnsi="仿宋_GB2312" w:eastAsia="仿宋_GB2312" w:cs="仿宋_GB2312"/>
          <w:color w:val="000000"/>
          <w:kern w:val="0"/>
          <w:sz w:val="32"/>
          <w:szCs w:val="32"/>
          <w:lang w:val="en-US" w:eastAsia="zh-CN" w:bidi="ar-SA"/>
        </w:rPr>
        <w:t>公共信用信息工作机构负责全市信用信息平台和数据库的建设与维护，为政府部门和社会提供信用信息服务。协调推进政府信用信息资源整合和交换，建立健全覆盖全社会的征信系统，推动信用信息的开放和应用工作。</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 w:hAnsi="仿宋" w:eastAsia="仿宋" w:cs="仿宋"/>
          <w:color w:val="auto"/>
          <w:sz w:val="32"/>
          <w:szCs w:val="32"/>
        </w:rPr>
      </w:pPr>
      <w:r>
        <w:rPr>
          <w:rFonts w:hint="eastAsia" w:ascii="黑体" w:hAnsi="黑体" w:eastAsia="黑体" w:cs="黑体"/>
          <w:b w:val="0"/>
          <w:bCs/>
          <w:color w:val="auto"/>
          <w:sz w:val="32"/>
          <w:szCs w:val="32"/>
        </w:rPr>
        <w:t>第</w:t>
      </w:r>
      <w:r>
        <w:rPr>
          <w:rFonts w:hint="eastAsia" w:ascii="黑体" w:hAnsi="黑体" w:eastAsia="黑体" w:cs="黑体"/>
          <w:b w:val="0"/>
          <w:bCs/>
          <w:color w:val="auto"/>
          <w:sz w:val="32"/>
          <w:szCs w:val="32"/>
          <w:lang w:eastAsia="zh-CN"/>
        </w:rPr>
        <w:t>十九</w:t>
      </w:r>
      <w:r>
        <w:rPr>
          <w:rFonts w:hint="eastAsia" w:ascii="黑体" w:hAnsi="黑体" w:eastAsia="黑体" w:cs="黑体"/>
          <w:b w:val="0"/>
          <w:bCs/>
          <w:color w:val="auto"/>
          <w:sz w:val="32"/>
          <w:szCs w:val="32"/>
        </w:rPr>
        <w:t>条</w:t>
      </w:r>
      <w:r>
        <w:rPr>
          <w:rFonts w:hint="eastAsia" w:ascii="黑体" w:hAnsi="黑体" w:eastAsia="黑体" w:cs="黑体"/>
          <w:b w:val="0"/>
          <w:bCs/>
          <w:color w:val="auto"/>
          <w:sz w:val="32"/>
          <w:szCs w:val="32"/>
          <w:lang w:val="en-US" w:eastAsia="zh-CN"/>
        </w:rPr>
        <w:t xml:space="preserve"> </w:t>
      </w:r>
      <w:r>
        <w:rPr>
          <w:rFonts w:hint="eastAsia" w:ascii="仿宋_GB2312" w:hAnsi="仿宋_GB2312" w:eastAsia="仿宋_GB2312" w:cs="仿宋_GB2312"/>
          <w:color w:val="000000"/>
          <w:kern w:val="0"/>
          <w:sz w:val="32"/>
          <w:szCs w:val="32"/>
          <w:lang w:val="en-US" w:eastAsia="zh-CN" w:bidi="ar-SA"/>
        </w:rPr>
        <w:t>国家机关和法律、法规授权的具有管理公共事务职能的组织应当构建以信用为基础，贯穿市场主体全生命周期，衔接事前、事中、事后全监管环节的新型监管机制，提升监管能力和水平。</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SA"/>
        </w:rPr>
      </w:pPr>
      <w:r>
        <w:rPr>
          <w:rFonts w:hint="eastAsia" w:ascii="黑体" w:hAnsi="黑体" w:eastAsia="黑体" w:cs="黑体"/>
          <w:b w:val="0"/>
          <w:bCs/>
          <w:color w:val="auto"/>
          <w:sz w:val="32"/>
          <w:szCs w:val="32"/>
        </w:rPr>
        <w:t>第二十条</w:t>
      </w:r>
      <w:r>
        <w:rPr>
          <w:rFonts w:hint="eastAsia" w:ascii="黑体" w:hAnsi="黑体" w:eastAsia="黑体" w:cs="黑体"/>
          <w:b w:val="0"/>
          <w:bCs/>
          <w:color w:val="auto"/>
          <w:sz w:val="32"/>
          <w:szCs w:val="32"/>
          <w:lang w:val="en-US" w:eastAsia="zh-CN"/>
        </w:rPr>
        <w:t xml:space="preserve"> </w:t>
      </w:r>
      <w:r>
        <w:rPr>
          <w:rFonts w:hint="eastAsia" w:ascii="仿宋_GB2312" w:hAnsi="仿宋_GB2312" w:eastAsia="仿宋_GB2312" w:cs="仿宋_GB2312"/>
          <w:color w:val="000000"/>
          <w:kern w:val="0"/>
          <w:sz w:val="32"/>
          <w:szCs w:val="32"/>
          <w:lang w:val="en-US" w:eastAsia="zh-CN" w:bidi="ar-SA"/>
        </w:rPr>
        <w:t>国家机关和法律、法规授权的具有管理公共事务职能的组织应当在行政管理和公共服务中推行信用承诺制度。信用承诺事项实行清单制管理，信用主体作出的信用承诺和履行承诺情况记入信用记录。</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黑体" w:hAnsi="黑体" w:eastAsia="黑体" w:cs="黑体"/>
          <w:b w:val="0"/>
          <w:bCs/>
          <w:color w:val="auto"/>
          <w:sz w:val="32"/>
          <w:szCs w:val="32"/>
        </w:rPr>
        <w:t>第二十</w:t>
      </w:r>
      <w:r>
        <w:rPr>
          <w:rFonts w:hint="eastAsia" w:ascii="黑体" w:hAnsi="黑体" w:eastAsia="黑体" w:cs="黑体"/>
          <w:b w:val="0"/>
          <w:bCs/>
          <w:color w:val="auto"/>
          <w:sz w:val="32"/>
          <w:szCs w:val="32"/>
          <w:lang w:eastAsia="zh-CN"/>
        </w:rPr>
        <w:t>一</w:t>
      </w:r>
      <w:r>
        <w:rPr>
          <w:rFonts w:hint="eastAsia" w:ascii="黑体" w:hAnsi="黑体" w:eastAsia="黑体" w:cs="黑体"/>
          <w:b w:val="0"/>
          <w:bCs/>
          <w:color w:val="auto"/>
          <w:sz w:val="32"/>
          <w:szCs w:val="32"/>
        </w:rPr>
        <w:t>条</w:t>
      </w:r>
      <w:r>
        <w:rPr>
          <w:rFonts w:hint="eastAsia" w:ascii="黑体" w:hAnsi="黑体" w:eastAsia="黑体" w:cs="黑体"/>
          <w:b w:val="0"/>
          <w:bCs/>
          <w:color w:val="auto"/>
          <w:sz w:val="32"/>
          <w:szCs w:val="32"/>
          <w:lang w:val="en-US" w:eastAsia="zh-CN"/>
        </w:rPr>
        <w:t xml:space="preserve"> </w:t>
      </w:r>
      <w:r>
        <w:rPr>
          <w:rFonts w:hint="eastAsia" w:ascii="仿宋_GB2312" w:hAnsi="仿宋_GB2312" w:eastAsia="仿宋_GB2312" w:cs="仿宋_GB2312"/>
          <w:color w:val="000000"/>
          <w:kern w:val="0"/>
          <w:sz w:val="32"/>
          <w:szCs w:val="32"/>
          <w:lang w:val="en-US" w:eastAsia="zh-CN"/>
        </w:rPr>
        <w:t>国家机关和法律、法规授权的具有管理公共事务职能的组织、人民团体根据履行职责的需要，依法应用信用信息。</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鼓励行业协会商会、市场主体在行业自律、生产经营活动中应用信用信息。</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 w:hAnsi="仿宋" w:eastAsia="仿宋" w:cs="仿宋"/>
          <w:color w:val="auto"/>
          <w:sz w:val="32"/>
          <w:szCs w:val="32"/>
        </w:rPr>
      </w:pPr>
    </w:p>
    <w:p>
      <w:pPr>
        <w:pStyle w:val="7"/>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576" w:lineRule="exact"/>
        <w:jc w:val="center"/>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第三章 信用状况认定</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576" w:lineRule="exact"/>
        <w:jc w:val="center"/>
        <w:textAlignment w:val="auto"/>
        <w:rPr>
          <w:rFonts w:hint="eastAsia" w:ascii="黑体" w:hAnsi="黑体" w:eastAsia="黑体" w:cs="黑体"/>
          <w:b w:val="0"/>
          <w:bCs/>
          <w:color w:val="auto"/>
          <w:sz w:val="32"/>
          <w:szCs w:val="32"/>
        </w:rPr>
      </w:pPr>
    </w:p>
    <w:p>
      <w:pPr>
        <w:pStyle w:val="7"/>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 w:hAnsi="仿宋" w:eastAsia="仿宋" w:cs="仿宋"/>
          <w:color w:val="auto"/>
          <w:sz w:val="32"/>
          <w:szCs w:val="32"/>
        </w:rPr>
      </w:pPr>
      <w:r>
        <w:rPr>
          <w:rFonts w:hint="eastAsia" w:ascii="黑体" w:hAnsi="黑体" w:eastAsia="黑体" w:cs="黑体"/>
          <w:b w:val="0"/>
          <w:bCs/>
          <w:color w:val="auto"/>
          <w:sz w:val="32"/>
          <w:szCs w:val="32"/>
        </w:rPr>
        <w:t>第二十</w:t>
      </w:r>
      <w:r>
        <w:rPr>
          <w:rFonts w:hint="eastAsia" w:ascii="黑体" w:hAnsi="黑体" w:eastAsia="黑体" w:cs="黑体"/>
          <w:b w:val="0"/>
          <w:bCs/>
          <w:color w:val="auto"/>
          <w:sz w:val="32"/>
          <w:szCs w:val="32"/>
          <w:lang w:eastAsia="zh-CN"/>
        </w:rPr>
        <w:t>二</w:t>
      </w:r>
      <w:r>
        <w:rPr>
          <w:rFonts w:hint="eastAsia" w:ascii="黑体" w:hAnsi="黑体" w:eastAsia="黑体" w:cs="黑体"/>
          <w:b w:val="0"/>
          <w:bCs/>
          <w:color w:val="auto"/>
          <w:sz w:val="32"/>
          <w:szCs w:val="32"/>
        </w:rPr>
        <w:t>条</w:t>
      </w:r>
      <w:r>
        <w:rPr>
          <w:rFonts w:hint="eastAsia" w:ascii="黑体" w:hAnsi="黑体" w:eastAsia="黑体" w:cs="黑体"/>
          <w:b w:val="0"/>
          <w:bCs/>
          <w:color w:val="auto"/>
          <w:sz w:val="32"/>
          <w:szCs w:val="32"/>
          <w:lang w:val="en-US" w:eastAsia="zh-CN"/>
        </w:rPr>
        <w:t xml:space="preserve"> </w:t>
      </w:r>
      <w:r>
        <w:rPr>
          <w:rFonts w:hint="eastAsia" w:ascii="仿宋_GB2312" w:hAnsi="仿宋_GB2312" w:eastAsia="仿宋_GB2312" w:cs="仿宋_GB2312"/>
          <w:color w:val="000000"/>
          <w:kern w:val="0"/>
          <w:sz w:val="32"/>
          <w:szCs w:val="32"/>
          <w:lang w:val="en-US" w:eastAsia="zh-CN" w:bidi="ar-SA"/>
        </w:rPr>
        <w:t>信用主体受到的表彰、奖励、荣誉称号等，应当按照国家和省有关规定记入信用记录。</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黑体" w:hAnsi="黑体" w:eastAsia="黑体" w:cs="黑体"/>
          <w:b w:val="0"/>
          <w:bCs/>
          <w:color w:val="auto"/>
          <w:sz w:val="32"/>
          <w:szCs w:val="32"/>
        </w:rPr>
        <w:t>第二十</w:t>
      </w:r>
      <w:r>
        <w:rPr>
          <w:rFonts w:hint="eastAsia" w:ascii="黑体" w:hAnsi="黑体" w:eastAsia="黑体" w:cs="黑体"/>
          <w:b w:val="0"/>
          <w:bCs/>
          <w:color w:val="auto"/>
          <w:sz w:val="32"/>
          <w:szCs w:val="32"/>
          <w:lang w:eastAsia="zh-CN"/>
        </w:rPr>
        <w:t>三</w:t>
      </w:r>
      <w:r>
        <w:rPr>
          <w:rFonts w:hint="eastAsia" w:ascii="黑体" w:hAnsi="黑体" w:eastAsia="黑体" w:cs="黑体"/>
          <w:b w:val="0"/>
          <w:bCs/>
          <w:color w:val="auto"/>
          <w:sz w:val="32"/>
          <w:szCs w:val="32"/>
        </w:rPr>
        <w:t>条</w:t>
      </w:r>
      <w:r>
        <w:rPr>
          <w:rFonts w:hint="eastAsia" w:ascii="黑体" w:hAnsi="黑体" w:eastAsia="黑体" w:cs="黑体"/>
          <w:b w:val="0"/>
          <w:bCs/>
          <w:color w:val="auto"/>
          <w:sz w:val="32"/>
          <w:szCs w:val="32"/>
          <w:lang w:val="en-US" w:eastAsia="zh-CN"/>
        </w:rPr>
        <w:t xml:space="preserve"> </w:t>
      </w:r>
      <w:r>
        <w:rPr>
          <w:rFonts w:hint="eastAsia" w:ascii="仿宋_GB2312" w:hAnsi="仿宋_GB2312" w:eastAsia="仿宋_GB2312" w:cs="仿宋_GB2312"/>
          <w:color w:val="000000"/>
          <w:kern w:val="0"/>
          <w:sz w:val="32"/>
          <w:szCs w:val="32"/>
          <w:lang w:val="en-US" w:eastAsia="zh-CN"/>
        </w:rPr>
        <w:t>国家机关和法律、法规授权的具有管理公共事务职能的组织应当依据有关法律法规和国家、省有关文件规定，对照公共信用信息目录，对信用主体行为是否属于失信行为进行认定，失信行为认定后应当作为失信信息记录。</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对未成年人失信行为、受自然灾害或疫情等不可抗力影响导致的失信行为以及非主观故意、轻微失信行为，应宽容审慎进行认定、记录和惩戒。</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黑体" w:hAnsi="黑体" w:eastAsia="黑体" w:cs="黑体"/>
          <w:b w:val="0"/>
          <w:bCs/>
          <w:color w:val="auto"/>
          <w:sz w:val="32"/>
          <w:szCs w:val="32"/>
        </w:rPr>
        <w:t>第二十</w:t>
      </w:r>
      <w:r>
        <w:rPr>
          <w:rFonts w:hint="eastAsia" w:ascii="黑体" w:hAnsi="黑体" w:eastAsia="黑体" w:cs="黑体"/>
          <w:b w:val="0"/>
          <w:bCs/>
          <w:color w:val="auto"/>
          <w:sz w:val="32"/>
          <w:szCs w:val="32"/>
          <w:lang w:eastAsia="zh-CN"/>
        </w:rPr>
        <w:t>四</w:t>
      </w:r>
      <w:r>
        <w:rPr>
          <w:rFonts w:hint="eastAsia" w:ascii="黑体" w:hAnsi="黑体" w:eastAsia="黑体" w:cs="黑体"/>
          <w:b w:val="0"/>
          <w:bCs/>
          <w:color w:val="auto"/>
          <w:sz w:val="32"/>
          <w:szCs w:val="32"/>
        </w:rPr>
        <w:t>条</w:t>
      </w:r>
      <w:r>
        <w:rPr>
          <w:rFonts w:hint="eastAsia" w:ascii="黑体" w:hAnsi="黑体" w:eastAsia="黑体" w:cs="黑体"/>
          <w:b w:val="0"/>
          <w:bCs/>
          <w:color w:val="auto"/>
          <w:sz w:val="32"/>
          <w:szCs w:val="32"/>
          <w:lang w:val="en-US" w:eastAsia="zh-CN"/>
        </w:rPr>
        <w:t xml:space="preserve"> </w:t>
      </w:r>
      <w:r>
        <w:rPr>
          <w:rFonts w:hint="eastAsia" w:ascii="仿宋_GB2312" w:hAnsi="仿宋_GB2312" w:eastAsia="仿宋_GB2312" w:cs="仿宋_GB2312"/>
          <w:color w:val="000000"/>
          <w:kern w:val="0"/>
          <w:sz w:val="32"/>
          <w:szCs w:val="32"/>
          <w:lang w:val="en-US" w:eastAsia="zh-CN"/>
        </w:rPr>
        <w:t>认定失信行为应当以下列具有法律效力的文书为依据：</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（一）生效的裁判文书、仲裁文书；</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（二）行政处罚、行政强制、行政裁决等行政行为决定文书；</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（三）法律法规或者国家有关文件规定可以作为认定失信行为依据的其他文书。</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黑体" w:hAnsi="黑体" w:eastAsia="黑体" w:cs="黑体"/>
          <w:b w:val="0"/>
          <w:bCs/>
          <w:color w:val="auto"/>
          <w:sz w:val="32"/>
          <w:szCs w:val="32"/>
        </w:rPr>
        <w:t>第二十</w:t>
      </w:r>
      <w:r>
        <w:rPr>
          <w:rFonts w:hint="eastAsia" w:ascii="黑体" w:hAnsi="黑体" w:eastAsia="黑体" w:cs="黑体"/>
          <w:b w:val="0"/>
          <w:bCs/>
          <w:color w:val="auto"/>
          <w:sz w:val="32"/>
          <w:szCs w:val="32"/>
          <w:lang w:eastAsia="zh-CN"/>
        </w:rPr>
        <w:t>五</w:t>
      </w:r>
      <w:r>
        <w:rPr>
          <w:rFonts w:hint="eastAsia" w:ascii="黑体" w:hAnsi="黑体" w:eastAsia="黑体" w:cs="黑体"/>
          <w:b w:val="0"/>
          <w:bCs/>
          <w:color w:val="auto"/>
          <w:sz w:val="32"/>
          <w:szCs w:val="32"/>
        </w:rPr>
        <w:t>条</w:t>
      </w:r>
      <w:r>
        <w:rPr>
          <w:rFonts w:hint="eastAsia" w:ascii="黑体" w:hAnsi="黑体" w:eastAsia="黑体" w:cs="黑体"/>
          <w:b w:val="0"/>
          <w:bCs/>
          <w:color w:val="auto"/>
          <w:sz w:val="32"/>
          <w:szCs w:val="32"/>
          <w:lang w:val="en-US" w:eastAsia="zh-CN"/>
        </w:rPr>
        <w:t xml:space="preserve"> </w:t>
      </w:r>
      <w:r>
        <w:rPr>
          <w:rFonts w:hint="eastAsia" w:ascii="仿宋_GB2312" w:hAnsi="仿宋_GB2312" w:eastAsia="仿宋_GB2312" w:cs="仿宋_GB2312"/>
          <w:color w:val="000000"/>
          <w:kern w:val="0"/>
          <w:sz w:val="32"/>
          <w:szCs w:val="32"/>
          <w:lang w:val="en-US" w:eastAsia="zh-CN"/>
        </w:rPr>
        <w:t>认定失信行为应当按照规定的标准进行。</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法律、行政法规和国家、省有关文件规定的失信行为，按照国家和省规定的标准执行；国家和省没有认定标准的，有关国家机关和法律、法规授权的具有管理公共事务职能的组织应当会同社会信用主管部门制定认定标准。</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制定认定标准应当以法律法规和国家、省有关文件规定以及公共信用信息目录为依据，充分征求意见，并向社会公布。制定机关应当对认定标准执行情况进行评估并动态调整。</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黑体" w:hAnsi="黑体" w:eastAsia="黑体" w:cs="黑体"/>
          <w:b w:val="0"/>
          <w:bCs/>
          <w:color w:val="auto"/>
          <w:kern w:val="0"/>
          <w:sz w:val="32"/>
          <w:szCs w:val="32"/>
          <w:lang w:val="en-US" w:eastAsia="zh-CN" w:bidi="ar-SA"/>
        </w:rPr>
        <w:t xml:space="preserve">第二十六条 </w:t>
      </w:r>
      <w:r>
        <w:rPr>
          <w:rFonts w:hint="eastAsia" w:ascii="仿宋_GB2312" w:hAnsi="仿宋_GB2312" w:eastAsia="仿宋_GB2312" w:cs="仿宋_GB2312"/>
          <w:color w:val="000000"/>
          <w:kern w:val="0"/>
          <w:sz w:val="32"/>
          <w:szCs w:val="32"/>
          <w:lang w:val="en-US" w:eastAsia="zh-CN"/>
        </w:rPr>
        <w:t>严重失信行为是指严重危害人民群众身体健康和生命安全、严重破坏市场公平竞争秩序和社会正常秩序、拒不履行法定义务严重影响司法机关和行政机关公信力、拒不履行国防义务等严重违法失信行为。</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设列严重失信主体名单的领域，必须以法律法规或者国家政策文件为依据，不得擅自增加或者拓展。</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严重失信主体名单的认定标准，执行法律、行政法规、国家政策文件或者部门规章的规定。</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严重失信主体名单由县级以上人民政府有关部门按照相关标准认定，法律法规和部门规章另有规定的除外。认定单位在作出认定决定前，应当通知当事人，书面告知其列入严重失信主体名单的事由、依据和依法享有的权利。当事人提出异议的，认定单位应当予以核实处理，并在规定时限内反馈结果。</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将信用主体列入严重失信主体名单，应当由认定单位依托相应的行政决定文书，载明事由、依据、失信惩戒措施提示、移出条件和程序以及救济措施等，必要时也可由认定单位单独制作认定严重失信主体名单的决定文书。</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 w:hAnsi="仿宋" w:eastAsia="仿宋" w:cs="仿宋"/>
          <w:color w:val="auto"/>
          <w:sz w:val="32"/>
          <w:szCs w:val="32"/>
        </w:rPr>
      </w:pPr>
      <w:r>
        <w:rPr>
          <w:rFonts w:hint="eastAsia" w:ascii="黑体" w:hAnsi="黑体" w:eastAsia="黑体" w:cs="黑体"/>
          <w:b w:val="0"/>
          <w:bCs/>
          <w:color w:val="auto"/>
          <w:sz w:val="32"/>
          <w:szCs w:val="32"/>
        </w:rPr>
        <w:t>第</w:t>
      </w:r>
      <w:r>
        <w:rPr>
          <w:rFonts w:hint="eastAsia" w:ascii="黑体" w:hAnsi="黑体" w:eastAsia="黑体" w:cs="黑体"/>
          <w:b w:val="0"/>
          <w:bCs/>
          <w:color w:val="auto"/>
          <w:sz w:val="32"/>
          <w:szCs w:val="32"/>
          <w:lang w:eastAsia="zh-CN"/>
        </w:rPr>
        <w:t>二十七</w:t>
      </w:r>
      <w:r>
        <w:rPr>
          <w:rFonts w:hint="eastAsia" w:ascii="黑体" w:hAnsi="黑体" w:eastAsia="黑体" w:cs="黑体"/>
          <w:b w:val="0"/>
          <w:bCs/>
          <w:color w:val="auto"/>
          <w:sz w:val="32"/>
          <w:szCs w:val="32"/>
        </w:rPr>
        <w:t>条</w:t>
      </w:r>
      <w:r>
        <w:rPr>
          <w:rFonts w:hint="eastAsia" w:ascii="黑体" w:hAnsi="黑体" w:eastAsia="黑体" w:cs="黑体"/>
          <w:b w:val="0"/>
          <w:bCs/>
          <w:color w:val="auto"/>
          <w:sz w:val="32"/>
          <w:szCs w:val="32"/>
          <w:lang w:val="en-US" w:eastAsia="zh-CN"/>
        </w:rPr>
        <w:t xml:space="preserve"> </w:t>
      </w:r>
      <w:r>
        <w:rPr>
          <w:rFonts w:hint="eastAsia" w:ascii="仿宋_GB2312" w:hAnsi="仿宋_GB2312" w:eastAsia="仿宋_GB2312" w:cs="仿宋_GB2312"/>
          <w:color w:val="000000"/>
          <w:kern w:val="0"/>
          <w:sz w:val="32"/>
          <w:szCs w:val="32"/>
          <w:lang w:val="en-US" w:eastAsia="zh-CN" w:bidi="ar-SA"/>
        </w:rPr>
        <w:t>对企事业单位严重失信行为，在记入企事业单位信用记录的同时，记入其法定代表人、主要负责人和其他负有直接责任人员的个人信用记录。在对失信企事业单位进行联合惩戒的同时，依照法律法规和政策规定对相关责任人员采取相应的联合惩戒措施。通过建立完整的个人信用记录数据库及联合惩戒机制，使失信惩戒措施落实到人。</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黑体" w:hAnsi="黑体" w:eastAsia="黑体" w:cs="黑体"/>
          <w:b w:val="0"/>
          <w:bCs/>
          <w:color w:val="auto"/>
          <w:sz w:val="32"/>
          <w:szCs w:val="32"/>
        </w:rPr>
        <w:t>第</w:t>
      </w:r>
      <w:r>
        <w:rPr>
          <w:rFonts w:hint="eastAsia" w:ascii="黑体" w:hAnsi="黑体" w:eastAsia="黑体" w:cs="黑体"/>
          <w:b w:val="0"/>
          <w:bCs/>
          <w:color w:val="auto"/>
          <w:sz w:val="32"/>
          <w:szCs w:val="32"/>
          <w:lang w:eastAsia="zh-CN"/>
        </w:rPr>
        <w:t>二十八</w:t>
      </w:r>
      <w:r>
        <w:rPr>
          <w:rFonts w:hint="eastAsia" w:ascii="黑体" w:hAnsi="黑体" w:eastAsia="黑体" w:cs="黑体"/>
          <w:b w:val="0"/>
          <w:bCs/>
          <w:color w:val="auto"/>
          <w:sz w:val="32"/>
          <w:szCs w:val="32"/>
        </w:rPr>
        <w:t>条</w:t>
      </w:r>
      <w:r>
        <w:rPr>
          <w:rFonts w:hint="eastAsia" w:ascii="黑体" w:hAnsi="黑体" w:eastAsia="黑体" w:cs="黑体"/>
          <w:b w:val="0"/>
          <w:bCs/>
          <w:color w:val="auto"/>
          <w:sz w:val="32"/>
          <w:szCs w:val="32"/>
          <w:lang w:val="en-US" w:eastAsia="zh-CN"/>
        </w:rPr>
        <w:t xml:space="preserve"> </w:t>
      </w:r>
      <w:r>
        <w:rPr>
          <w:rFonts w:hint="eastAsia" w:ascii="仿宋_GB2312" w:hAnsi="仿宋_GB2312" w:eastAsia="仿宋_GB2312" w:cs="仿宋_GB2312"/>
          <w:color w:val="000000"/>
          <w:kern w:val="0"/>
          <w:sz w:val="32"/>
          <w:szCs w:val="32"/>
          <w:lang w:val="en-US" w:eastAsia="zh-CN"/>
        </w:rPr>
        <w:t>社会信用主管部门可以根据国家、省有关规定，对市场主体开展公共信用综合评价。国家机关和法律、法规授权的具有管理公共事务职能的组织可以建立本行业、本领域信用评价机制，对监管对象开展行业信用评价。</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行业信用评价的方式、标准等，按照国家、省有关规定执行；国家、省没有规定的，国家机关和法律、法规授权的具有管理公共事务职能的组织应当会同社会信用主管部门制定，并向社会公开。制定行业信用评价的方式、标准，应当征求相关行业领域信用主体、行业协会商会、专家学者等方面的意见。</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 w:hAnsi="仿宋" w:eastAsia="仿宋" w:cs="仿宋"/>
          <w:color w:val="auto"/>
          <w:sz w:val="32"/>
          <w:szCs w:val="32"/>
        </w:rPr>
      </w:pPr>
      <w:r>
        <w:rPr>
          <w:rFonts w:hint="eastAsia" w:ascii="仿宋_GB2312" w:hAnsi="仿宋_GB2312" w:eastAsia="仿宋_GB2312" w:cs="仿宋_GB2312"/>
          <w:color w:val="000000"/>
          <w:kern w:val="0"/>
          <w:sz w:val="32"/>
          <w:szCs w:val="32"/>
          <w:lang w:val="en-US" w:eastAsia="zh-CN" w:bidi="ar-SA"/>
        </w:rPr>
        <w:t>公共信用综合评价和行业信用评价结果作为实施分级分类监管的依据，并可以提供给金融机构、行业协会商会等参考使用。</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 w:hAnsi="仿宋" w:eastAsia="仿宋" w:cs="仿宋"/>
          <w:color w:val="auto"/>
          <w:sz w:val="32"/>
          <w:szCs w:val="32"/>
        </w:rPr>
      </w:pPr>
    </w:p>
    <w:p>
      <w:pPr>
        <w:pStyle w:val="7"/>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576" w:lineRule="exact"/>
        <w:jc w:val="center"/>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第四章 信用信息管理</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576" w:lineRule="exact"/>
        <w:jc w:val="center"/>
        <w:textAlignment w:val="auto"/>
        <w:rPr>
          <w:rFonts w:hint="eastAsia" w:ascii="黑体" w:hAnsi="黑体" w:eastAsia="黑体" w:cs="黑体"/>
          <w:b w:val="0"/>
          <w:bCs/>
          <w:color w:val="auto"/>
          <w:sz w:val="32"/>
          <w:szCs w:val="32"/>
        </w:rPr>
      </w:pP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黑体" w:hAnsi="黑体" w:eastAsia="黑体" w:cs="黑体"/>
          <w:b w:val="0"/>
          <w:bCs/>
          <w:color w:val="auto"/>
          <w:sz w:val="32"/>
          <w:szCs w:val="32"/>
        </w:rPr>
        <w:t>第</w:t>
      </w:r>
      <w:r>
        <w:rPr>
          <w:rFonts w:hint="eastAsia" w:ascii="黑体" w:hAnsi="黑体" w:eastAsia="黑体" w:cs="黑体"/>
          <w:b w:val="0"/>
          <w:bCs/>
          <w:color w:val="auto"/>
          <w:sz w:val="32"/>
          <w:szCs w:val="32"/>
          <w:lang w:eastAsia="zh-CN"/>
        </w:rPr>
        <w:t>二十九</w:t>
      </w:r>
      <w:r>
        <w:rPr>
          <w:rFonts w:hint="eastAsia" w:ascii="黑体" w:hAnsi="黑体" w:eastAsia="黑体" w:cs="黑体"/>
          <w:b w:val="0"/>
          <w:bCs/>
          <w:color w:val="auto"/>
          <w:sz w:val="32"/>
          <w:szCs w:val="32"/>
        </w:rPr>
        <w:t>条</w:t>
      </w:r>
      <w:r>
        <w:rPr>
          <w:rFonts w:hint="eastAsia" w:ascii="黑体" w:hAnsi="黑体" w:eastAsia="黑体" w:cs="黑体"/>
          <w:b w:val="0"/>
          <w:bCs/>
          <w:color w:val="auto"/>
          <w:sz w:val="32"/>
          <w:szCs w:val="32"/>
          <w:lang w:val="en-US" w:eastAsia="zh-CN"/>
        </w:rPr>
        <w:t xml:space="preserve"> </w:t>
      </w:r>
      <w:r>
        <w:rPr>
          <w:rFonts w:hint="eastAsia" w:ascii="仿宋_GB2312" w:hAnsi="仿宋_GB2312" w:eastAsia="仿宋_GB2312" w:cs="仿宋_GB2312"/>
          <w:color w:val="000000"/>
          <w:kern w:val="0"/>
          <w:sz w:val="32"/>
          <w:szCs w:val="32"/>
          <w:lang w:val="en-US" w:eastAsia="zh-CN"/>
        </w:rPr>
        <w:t>公共信用信息工作机构应当以自然人身份证号码和法人、非法人组织统一社会信用代码为标识，建立信用主体信用档案。</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自然人没有身份证号码的，以其他有效身份证件号码为标识。</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黑体" w:hAnsi="黑体" w:eastAsia="黑体" w:cs="黑体"/>
          <w:b w:val="0"/>
          <w:bCs/>
          <w:color w:val="auto"/>
          <w:sz w:val="32"/>
          <w:szCs w:val="32"/>
        </w:rPr>
        <w:t>第三十条</w:t>
      </w:r>
      <w:r>
        <w:rPr>
          <w:rFonts w:hint="eastAsia" w:ascii="黑体" w:hAnsi="黑体" w:eastAsia="黑体" w:cs="黑体"/>
          <w:b w:val="0"/>
          <w:bCs/>
          <w:color w:val="auto"/>
          <w:sz w:val="32"/>
          <w:szCs w:val="32"/>
          <w:lang w:val="en-US" w:eastAsia="zh-CN"/>
        </w:rPr>
        <w:t xml:space="preserve"> </w:t>
      </w:r>
      <w:r>
        <w:rPr>
          <w:rFonts w:hint="eastAsia" w:ascii="仿宋_GB2312" w:hAnsi="仿宋_GB2312" w:eastAsia="仿宋_GB2312" w:cs="仿宋_GB2312"/>
          <w:color w:val="000000"/>
          <w:kern w:val="0"/>
          <w:sz w:val="32"/>
          <w:szCs w:val="32"/>
          <w:lang w:val="en-US" w:eastAsia="zh-CN"/>
        </w:rPr>
        <w:t>公共信用信息实行目录管理。公共信用信息目录包括全国公共信用信息基础目录和地方公共信用信息补充目录。</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社会信用主管部门可以会同国家机关和法律、法规授权的具有管理公共事务职能的组织，依据上级有关规定，编制适用于本行政区域的地方公共信用信息补充目录，补充目录需经本级人民政府同意后向社会公布。</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编制、更新地方公共信用信息补充目录，应当征求地方有关部门和相关市场主体、行业协会商会、专家学者和社会公众等方面的意见。</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县（市、区）人民政府社会信用主管部门编制、更新本行政区域的地方公共信用信息补充目录，应当报送市人民政府社会信用主管部门，由市人民政府社会信用主管部门报送省人民政府社会信用主管部门。</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黑体" w:hAnsi="黑体" w:eastAsia="黑体" w:cs="黑体"/>
          <w:b w:val="0"/>
          <w:bCs/>
          <w:color w:val="auto"/>
          <w:sz w:val="32"/>
          <w:szCs w:val="32"/>
        </w:rPr>
        <w:t>第三十</w:t>
      </w:r>
      <w:r>
        <w:rPr>
          <w:rFonts w:hint="eastAsia" w:ascii="黑体" w:hAnsi="黑体" w:eastAsia="黑体" w:cs="黑体"/>
          <w:b w:val="0"/>
          <w:bCs/>
          <w:color w:val="auto"/>
          <w:sz w:val="32"/>
          <w:szCs w:val="32"/>
          <w:lang w:eastAsia="zh-CN"/>
        </w:rPr>
        <w:t>一</w:t>
      </w:r>
      <w:r>
        <w:rPr>
          <w:rFonts w:hint="eastAsia" w:ascii="黑体" w:hAnsi="黑体" w:eastAsia="黑体" w:cs="黑体"/>
          <w:b w:val="0"/>
          <w:bCs/>
          <w:color w:val="auto"/>
          <w:sz w:val="32"/>
          <w:szCs w:val="32"/>
        </w:rPr>
        <w:t>条</w:t>
      </w:r>
      <w:r>
        <w:rPr>
          <w:rFonts w:hint="eastAsia" w:ascii="黑体" w:hAnsi="黑体" w:eastAsia="黑体" w:cs="黑体"/>
          <w:b w:val="0"/>
          <w:bCs/>
          <w:color w:val="auto"/>
          <w:sz w:val="32"/>
          <w:szCs w:val="32"/>
          <w:lang w:val="en-US" w:eastAsia="zh-CN"/>
        </w:rPr>
        <w:t xml:space="preserve"> </w:t>
      </w:r>
      <w:r>
        <w:rPr>
          <w:rFonts w:hint="eastAsia" w:ascii="仿宋_GB2312" w:hAnsi="仿宋_GB2312" w:eastAsia="仿宋_GB2312" w:cs="仿宋_GB2312"/>
          <w:color w:val="000000"/>
          <w:kern w:val="0"/>
          <w:sz w:val="32"/>
          <w:szCs w:val="32"/>
          <w:lang w:val="en-US" w:eastAsia="zh-CN"/>
        </w:rPr>
        <w:t>纳入地方公共信用信息补充目录的失信信息应当限制在下列范围：</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（一）行政处罚、行政强制、行政裁决等行政行为中反映信用主体违法失信的信息；</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（二）在信用承诺中虚假承诺或者不履行承诺的信息；</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（三）提供虚假材料、隐瞒事实真相、瞒报谎报信息等弄虚作假行为的信息；</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（四）违反诚信执业相关规范造成不良影响的信息；</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（五）拒不履行生效法律文书确定义务的信息；</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（六）其他失信行为的信息。</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SA"/>
        </w:rPr>
      </w:pPr>
      <w:r>
        <w:rPr>
          <w:rFonts w:hint="eastAsia" w:ascii="黑体" w:hAnsi="黑体" w:eastAsia="黑体" w:cs="黑体"/>
          <w:b w:val="0"/>
          <w:bCs/>
          <w:color w:val="auto"/>
          <w:sz w:val="32"/>
          <w:szCs w:val="32"/>
        </w:rPr>
        <w:t>第三十</w:t>
      </w:r>
      <w:r>
        <w:rPr>
          <w:rFonts w:hint="eastAsia" w:ascii="黑体" w:hAnsi="黑体" w:eastAsia="黑体" w:cs="黑体"/>
          <w:b w:val="0"/>
          <w:bCs/>
          <w:color w:val="auto"/>
          <w:sz w:val="32"/>
          <w:szCs w:val="32"/>
          <w:lang w:eastAsia="zh-CN"/>
        </w:rPr>
        <w:t>二</w:t>
      </w:r>
      <w:r>
        <w:rPr>
          <w:rFonts w:hint="eastAsia" w:ascii="黑体" w:hAnsi="黑体" w:eastAsia="黑体" w:cs="黑体"/>
          <w:b w:val="0"/>
          <w:bCs/>
          <w:color w:val="auto"/>
          <w:sz w:val="32"/>
          <w:szCs w:val="32"/>
        </w:rPr>
        <w:t>条</w:t>
      </w:r>
      <w:r>
        <w:rPr>
          <w:rFonts w:hint="eastAsia" w:ascii="黑体" w:hAnsi="黑体" w:eastAsia="黑体" w:cs="黑体"/>
          <w:b w:val="0"/>
          <w:bCs/>
          <w:color w:val="auto"/>
          <w:sz w:val="32"/>
          <w:szCs w:val="32"/>
          <w:lang w:val="en-US" w:eastAsia="zh-CN"/>
        </w:rPr>
        <w:t xml:space="preserve"> </w:t>
      </w:r>
      <w:r>
        <w:rPr>
          <w:rFonts w:hint="eastAsia" w:ascii="仿宋_GB2312" w:hAnsi="仿宋_GB2312" w:eastAsia="仿宋_GB2312" w:cs="仿宋_GB2312"/>
          <w:color w:val="000000"/>
          <w:kern w:val="0"/>
          <w:sz w:val="32"/>
          <w:szCs w:val="32"/>
          <w:lang w:val="en-US" w:eastAsia="zh-CN" w:bidi="ar-SA"/>
        </w:rPr>
        <w:t>公共信用信息提供单位应当按照公共信用信息目录要求，及时、准确、全面地向公共信用信息系统提供信息。</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 w:hAnsi="仿宋" w:eastAsia="仿宋" w:cs="仿宋"/>
          <w:color w:val="auto"/>
          <w:sz w:val="32"/>
          <w:szCs w:val="32"/>
        </w:rPr>
      </w:pPr>
      <w:r>
        <w:rPr>
          <w:rFonts w:hint="eastAsia" w:ascii="仿宋_GB2312" w:hAnsi="仿宋_GB2312" w:eastAsia="仿宋_GB2312" w:cs="仿宋_GB2312"/>
          <w:color w:val="000000"/>
          <w:kern w:val="0"/>
          <w:sz w:val="32"/>
          <w:szCs w:val="32"/>
          <w:lang w:val="en-US" w:eastAsia="zh-CN" w:bidi="ar-SA"/>
        </w:rPr>
        <w:t>信用主体可以通过声明、自主申报、承诺、协议等形式，向公共信用信息工作机构提供或者补充自身的信用信息，并对信用信息的真实性负责。</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SA"/>
        </w:rPr>
      </w:pPr>
      <w:r>
        <w:rPr>
          <w:rFonts w:hint="eastAsia" w:ascii="黑体" w:hAnsi="黑体" w:eastAsia="黑体" w:cs="黑体"/>
          <w:b w:val="0"/>
          <w:bCs/>
          <w:color w:val="auto"/>
          <w:sz w:val="32"/>
          <w:szCs w:val="32"/>
        </w:rPr>
        <w:t>第三十</w:t>
      </w:r>
      <w:r>
        <w:rPr>
          <w:rFonts w:hint="eastAsia" w:ascii="黑体" w:hAnsi="黑体" w:eastAsia="黑体" w:cs="黑体"/>
          <w:b w:val="0"/>
          <w:bCs/>
          <w:color w:val="auto"/>
          <w:sz w:val="32"/>
          <w:szCs w:val="32"/>
          <w:lang w:eastAsia="zh-CN"/>
        </w:rPr>
        <w:t>三</w:t>
      </w:r>
      <w:r>
        <w:rPr>
          <w:rFonts w:hint="eastAsia" w:ascii="黑体" w:hAnsi="黑体" w:eastAsia="黑体" w:cs="黑体"/>
          <w:b w:val="0"/>
          <w:bCs/>
          <w:color w:val="auto"/>
          <w:sz w:val="32"/>
          <w:szCs w:val="32"/>
        </w:rPr>
        <w:t>条</w:t>
      </w:r>
      <w:r>
        <w:rPr>
          <w:rFonts w:hint="eastAsia" w:ascii="黑体" w:hAnsi="黑体" w:eastAsia="黑体" w:cs="黑体"/>
          <w:b w:val="0"/>
          <w:bCs/>
          <w:color w:val="auto"/>
          <w:sz w:val="32"/>
          <w:szCs w:val="32"/>
          <w:lang w:val="en-US" w:eastAsia="zh-CN"/>
        </w:rPr>
        <w:t xml:space="preserve"> </w:t>
      </w:r>
      <w:r>
        <w:rPr>
          <w:rFonts w:hint="eastAsia" w:ascii="仿宋_GB2312" w:hAnsi="仿宋_GB2312" w:eastAsia="仿宋_GB2312" w:cs="仿宋_GB2312"/>
          <w:color w:val="000000"/>
          <w:kern w:val="0"/>
          <w:sz w:val="32"/>
          <w:szCs w:val="32"/>
          <w:lang w:val="en-US" w:eastAsia="zh-CN" w:bidi="ar-SA"/>
        </w:rPr>
        <w:t>各级人民政府应当推动公共信用信息系统通过政务数据共享交换平台与企业信用信息公示系统、一体化政务服务平台、一体化监管平台等系统和平台的信息共享和交换，避免信用信息重复归集。</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黑体" w:hAnsi="黑体" w:eastAsia="黑体" w:cs="黑体"/>
          <w:b w:val="0"/>
          <w:bCs/>
          <w:color w:val="auto"/>
          <w:sz w:val="32"/>
          <w:szCs w:val="32"/>
        </w:rPr>
        <w:t>第三十</w:t>
      </w:r>
      <w:r>
        <w:rPr>
          <w:rFonts w:hint="eastAsia" w:ascii="黑体" w:hAnsi="黑体" w:eastAsia="黑体" w:cs="黑体"/>
          <w:b w:val="0"/>
          <w:bCs/>
          <w:color w:val="auto"/>
          <w:sz w:val="32"/>
          <w:szCs w:val="32"/>
          <w:lang w:eastAsia="zh-CN"/>
        </w:rPr>
        <w:t>四</w:t>
      </w:r>
      <w:r>
        <w:rPr>
          <w:rFonts w:hint="eastAsia" w:ascii="黑体" w:hAnsi="黑体" w:eastAsia="黑体" w:cs="黑体"/>
          <w:b w:val="0"/>
          <w:bCs/>
          <w:color w:val="auto"/>
          <w:sz w:val="32"/>
          <w:szCs w:val="32"/>
        </w:rPr>
        <w:t>条</w:t>
      </w:r>
      <w:r>
        <w:rPr>
          <w:rFonts w:hint="eastAsia" w:ascii="黑体" w:hAnsi="黑体" w:eastAsia="黑体" w:cs="黑体"/>
          <w:b w:val="0"/>
          <w:bCs/>
          <w:color w:val="auto"/>
          <w:sz w:val="32"/>
          <w:szCs w:val="32"/>
          <w:lang w:val="en-US" w:eastAsia="zh-CN"/>
        </w:rPr>
        <w:t xml:space="preserve"> </w:t>
      </w:r>
      <w:r>
        <w:rPr>
          <w:rFonts w:hint="eastAsia" w:ascii="仿宋_GB2312" w:hAnsi="仿宋_GB2312" w:eastAsia="仿宋_GB2312" w:cs="仿宋_GB2312"/>
          <w:color w:val="000000"/>
          <w:kern w:val="0"/>
          <w:sz w:val="32"/>
          <w:szCs w:val="32"/>
          <w:lang w:val="en-US" w:eastAsia="zh-CN"/>
        </w:rPr>
        <w:t>公共信用信息工作机构通过依法公开、政务共享、依职权查询、实名认证查询、授权查询等方式披露公共信用信息。</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依法公开是指依照法律法规和公共信用信息目录，向社会公示公共信用信息；政务共享是指按照公共信用信息目录确定的共享范围，向有关国家机关和法律、法规授权的具有管理公共事务职能的组织、人民团体提供公共信用信息；依职权查询是指国家机关和法律、法规授权的具有管理公共事务职能的组织、人民团体依据职责权限，按照规定查询信用主体的公共信用信息；实名认证查询是指信用主体通过实名认证后，查询自身的公共信用信息；授权查询是指根据信用主体的授权，查询其公共信用信息。</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公共信用信息工作机构应当制定并公布服务规范，优化服务方式。</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黑体" w:hAnsi="黑体" w:eastAsia="黑体" w:cs="黑体"/>
          <w:b w:val="0"/>
          <w:bCs/>
          <w:color w:val="auto"/>
          <w:sz w:val="32"/>
          <w:szCs w:val="32"/>
        </w:rPr>
        <w:t>第三十</w:t>
      </w:r>
      <w:r>
        <w:rPr>
          <w:rFonts w:hint="eastAsia" w:ascii="黑体" w:hAnsi="黑体" w:eastAsia="黑体" w:cs="黑体"/>
          <w:b w:val="0"/>
          <w:bCs/>
          <w:color w:val="auto"/>
          <w:sz w:val="32"/>
          <w:szCs w:val="32"/>
          <w:lang w:eastAsia="zh-CN"/>
        </w:rPr>
        <w:t>五</w:t>
      </w:r>
      <w:r>
        <w:rPr>
          <w:rFonts w:hint="eastAsia" w:ascii="黑体" w:hAnsi="黑体" w:eastAsia="黑体" w:cs="黑体"/>
          <w:b w:val="0"/>
          <w:bCs/>
          <w:color w:val="auto"/>
          <w:sz w:val="32"/>
          <w:szCs w:val="32"/>
        </w:rPr>
        <w:t>条</w:t>
      </w:r>
      <w:r>
        <w:rPr>
          <w:rFonts w:hint="eastAsia" w:ascii="黑体" w:hAnsi="黑体" w:eastAsia="黑体" w:cs="黑体"/>
          <w:b w:val="0"/>
          <w:bCs/>
          <w:color w:val="auto"/>
          <w:sz w:val="32"/>
          <w:szCs w:val="32"/>
          <w:lang w:val="en-US" w:eastAsia="zh-CN"/>
        </w:rPr>
        <w:t xml:space="preserve"> </w:t>
      </w:r>
      <w:r>
        <w:rPr>
          <w:rFonts w:hint="eastAsia" w:ascii="仿宋_GB2312" w:hAnsi="仿宋_GB2312" w:eastAsia="仿宋_GB2312" w:cs="仿宋_GB2312"/>
          <w:color w:val="000000"/>
          <w:kern w:val="0"/>
          <w:sz w:val="32"/>
          <w:szCs w:val="32"/>
          <w:lang w:val="en-US" w:eastAsia="zh-CN"/>
        </w:rPr>
        <w:t>国家机关和法律、法规授权的具有管理公共事务职能的组织、人民团体通过政务共享、依职权查询获得的公共信用信息，不得超出履行职责的范围使用，不得擅自公开。</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 w:hAnsi="仿宋" w:eastAsia="仿宋" w:cs="仿宋"/>
          <w:color w:val="auto"/>
          <w:sz w:val="32"/>
          <w:szCs w:val="32"/>
        </w:rPr>
      </w:pPr>
      <w:r>
        <w:rPr>
          <w:rFonts w:hint="eastAsia" w:ascii="仿宋_GB2312" w:hAnsi="仿宋_GB2312" w:eastAsia="仿宋_GB2312" w:cs="仿宋_GB2312"/>
          <w:color w:val="000000"/>
          <w:kern w:val="0"/>
          <w:sz w:val="32"/>
          <w:szCs w:val="32"/>
          <w:lang w:val="en-US" w:eastAsia="zh-CN"/>
        </w:rPr>
        <w:t>依法公开自然人的个人信息，应当进行脱敏处理，并采取安全保护措施。法律法规和司法解释另有规定的除外。</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黑体" w:hAnsi="黑体" w:eastAsia="黑体" w:cs="黑体"/>
          <w:b w:val="0"/>
          <w:bCs/>
          <w:color w:val="auto"/>
          <w:sz w:val="32"/>
          <w:szCs w:val="32"/>
        </w:rPr>
        <w:t>第三十</w:t>
      </w:r>
      <w:r>
        <w:rPr>
          <w:rFonts w:hint="eastAsia" w:ascii="黑体" w:hAnsi="黑体" w:eastAsia="黑体" w:cs="黑体"/>
          <w:b w:val="0"/>
          <w:bCs/>
          <w:color w:val="auto"/>
          <w:sz w:val="32"/>
          <w:szCs w:val="32"/>
          <w:lang w:eastAsia="zh-CN"/>
        </w:rPr>
        <w:t>六</w:t>
      </w:r>
      <w:r>
        <w:rPr>
          <w:rFonts w:hint="eastAsia" w:ascii="黑体" w:hAnsi="黑体" w:eastAsia="黑体" w:cs="黑体"/>
          <w:b w:val="0"/>
          <w:bCs/>
          <w:color w:val="auto"/>
          <w:sz w:val="32"/>
          <w:szCs w:val="32"/>
        </w:rPr>
        <w:t>条</w:t>
      </w:r>
      <w:r>
        <w:rPr>
          <w:rFonts w:hint="eastAsia" w:ascii="黑体" w:hAnsi="黑体" w:eastAsia="黑体" w:cs="黑体"/>
          <w:b w:val="0"/>
          <w:bCs/>
          <w:color w:val="auto"/>
          <w:sz w:val="32"/>
          <w:szCs w:val="32"/>
          <w:lang w:val="en-US" w:eastAsia="zh-CN"/>
        </w:rPr>
        <w:t xml:space="preserve"> </w:t>
      </w:r>
      <w:r>
        <w:rPr>
          <w:rFonts w:hint="eastAsia" w:ascii="仿宋_GB2312" w:hAnsi="仿宋_GB2312" w:eastAsia="仿宋_GB2312" w:cs="仿宋_GB2312"/>
          <w:color w:val="000000"/>
          <w:kern w:val="0"/>
          <w:sz w:val="32"/>
          <w:szCs w:val="32"/>
          <w:lang w:val="en-US" w:eastAsia="zh-CN"/>
        </w:rPr>
        <w:t>公共信用信息的公示、保存期限，按照国家规定执行。</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 w:hAnsi="仿宋" w:eastAsia="仿宋" w:cs="仿宋"/>
          <w:color w:val="auto"/>
          <w:sz w:val="32"/>
          <w:szCs w:val="32"/>
        </w:rPr>
      </w:pPr>
      <w:r>
        <w:rPr>
          <w:rFonts w:hint="eastAsia" w:ascii="仿宋_GB2312" w:hAnsi="仿宋_GB2312" w:eastAsia="仿宋_GB2312" w:cs="仿宋_GB2312"/>
          <w:color w:val="000000"/>
          <w:kern w:val="0"/>
          <w:sz w:val="32"/>
          <w:szCs w:val="32"/>
          <w:lang w:val="en-US" w:eastAsia="zh-CN"/>
        </w:rPr>
        <w:t>失信信息公示期限期满，公共信用信息工作机构、国家机关和法律、法规授权的具有管理公共事务职能的组织应当及时停止公示；保存期限期满，公共信用信息工作机构不得继续提供共享、查询等开放服务。</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黑体" w:hAnsi="黑体" w:eastAsia="黑体" w:cs="黑体"/>
          <w:b w:val="0"/>
          <w:bCs/>
          <w:color w:val="auto"/>
          <w:sz w:val="32"/>
          <w:szCs w:val="32"/>
        </w:rPr>
        <w:t>第</w:t>
      </w:r>
      <w:r>
        <w:rPr>
          <w:rFonts w:hint="eastAsia" w:ascii="黑体" w:hAnsi="黑体" w:eastAsia="黑体" w:cs="黑体"/>
          <w:b w:val="0"/>
          <w:bCs/>
          <w:color w:val="auto"/>
          <w:sz w:val="32"/>
          <w:szCs w:val="32"/>
          <w:lang w:eastAsia="zh-CN"/>
        </w:rPr>
        <w:t>三十七</w:t>
      </w:r>
      <w:r>
        <w:rPr>
          <w:rFonts w:hint="eastAsia" w:ascii="黑体" w:hAnsi="黑体" w:eastAsia="黑体" w:cs="黑体"/>
          <w:b w:val="0"/>
          <w:bCs/>
          <w:color w:val="auto"/>
          <w:sz w:val="32"/>
          <w:szCs w:val="32"/>
        </w:rPr>
        <w:t>条</w:t>
      </w:r>
      <w:r>
        <w:rPr>
          <w:rFonts w:hint="eastAsia" w:ascii="黑体" w:hAnsi="黑体" w:eastAsia="黑体" w:cs="黑体"/>
          <w:b w:val="0"/>
          <w:bCs/>
          <w:color w:val="auto"/>
          <w:sz w:val="32"/>
          <w:szCs w:val="32"/>
          <w:lang w:val="en-US" w:eastAsia="zh-CN"/>
        </w:rPr>
        <w:t xml:space="preserve"> </w:t>
      </w:r>
      <w:r>
        <w:rPr>
          <w:rFonts w:hint="eastAsia" w:ascii="仿宋_GB2312" w:hAnsi="仿宋_GB2312" w:eastAsia="仿宋_GB2312" w:cs="仿宋_GB2312"/>
          <w:color w:val="000000"/>
          <w:kern w:val="0"/>
          <w:sz w:val="32"/>
          <w:szCs w:val="32"/>
          <w:lang w:val="en-US" w:eastAsia="zh-CN"/>
        </w:rPr>
        <w:t>信用服务机构按照与信用主体的约定，依法采集其市场信用信息。行业协会商会依照章程记录会员的信用信息，建立会员信用档案。对交易服务对象实施信用管理的企业事业单位按照与交易服务对象的约定，依法记录自身生产经营、提供服务过程中产生的信用信息。</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市场信用信息的采集，应当遵循合法、正当、必要的原则。</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SA"/>
        </w:rPr>
      </w:pPr>
      <w:r>
        <w:rPr>
          <w:rFonts w:hint="eastAsia" w:ascii="黑体" w:hAnsi="黑体" w:eastAsia="黑体" w:cs="黑体"/>
          <w:b w:val="0"/>
          <w:bCs/>
          <w:color w:val="auto"/>
          <w:sz w:val="32"/>
          <w:szCs w:val="32"/>
        </w:rPr>
        <w:t>第</w:t>
      </w:r>
      <w:r>
        <w:rPr>
          <w:rFonts w:hint="eastAsia" w:ascii="黑体" w:hAnsi="黑体" w:eastAsia="黑体" w:cs="黑体"/>
          <w:b w:val="0"/>
          <w:bCs/>
          <w:color w:val="auto"/>
          <w:sz w:val="32"/>
          <w:szCs w:val="32"/>
          <w:lang w:eastAsia="zh-CN"/>
        </w:rPr>
        <w:t>三十八</w:t>
      </w:r>
      <w:r>
        <w:rPr>
          <w:rFonts w:hint="eastAsia" w:ascii="黑体" w:hAnsi="黑体" w:eastAsia="黑体" w:cs="黑体"/>
          <w:b w:val="0"/>
          <w:bCs/>
          <w:color w:val="auto"/>
          <w:sz w:val="32"/>
          <w:szCs w:val="32"/>
        </w:rPr>
        <w:t>条</w:t>
      </w:r>
      <w:r>
        <w:rPr>
          <w:rFonts w:hint="eastAsia" w:ascii="黑体" w:hAnsi="黑体" w:eastAsia="黑体" w:cs="黑体"/>
          <w:b w:val="0"/>
          <w:bCs/>
          <w:color w:val="auto"/>
          <w:sz w:val="32"/>
          <w:szCs w:val="32"/>
          <w:lang w:val="en-US" w:eastAsia="zh-CN"/>
        </w:rPr>
        <w:t xml:space="preserve"> </w:t>
      </w:r>
      <w:r>
        <w:rPr>
          <w:rFonts w:hint="eastAsia" w:ascii="仿宋_GB2312" w:hAnsi="仿宋_GB2312" w:eastAsia="仿宋_GB2312" w:cs="仿宋_GB2312"/>
          <w:color w:val="000000"/>
          <w:kern w:val="0"/>
          <w:sz w:val="32"/>
          <w:szCs w:val="32"/>
          <w:lang w:val="en-US" w:eastAsia="zh-CN" w:bidi="ar-SA"/>
        </w:rPr>
        <w:t>国家机关和法律、法规授权的具有管理公共事务职能的组织、公共信用信息工作机构和市场信用信息采集单位应当加强信用信息系统安全防护和管理，建立健全安全管理制度，实行信息系统安全等级保护，保障信用信息存储安全。</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 w:hAnsi="仿宋" w:eastAsia="仿宋" w:cs="仿宋"/>
          <w:color w:val="auto"/>
          <w:sz w:val="32"/>
          <w:szCs w:val="32"/>
        </w:rPr>
      </w:pPr>
    </w:p>
    <w:p>
      <w:pPr>
        <w:pStyle w:val="7"/>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576" w:lineRule="exact"/>
        <w:jc w:val="center"/>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第五章 守信激励和失信惩戒</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576" w:lineRule="exact"/>
        <w:ind w:firstLine="640" w:firstLineChars="200"/>
        <w:jc w:val="center"/>
        <w:textAlignment w:val="auto"/>
        <w:rPr>
          <w:rFonts w:hint="eastAsia" w:ascii="黑体" w:hAnsi="黑体" w:eastAsia="黑体" w:cs="黑体"/>
          <w:b w:val="0"/>
          <w:bCs/>
          <w:color w:val="auto"/>
          <w:sz w:val="32"/>
          <w:szCs w:val="32"/>
        </w:rPr>
      </w:pP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黑体" w:hAnsi="黑体" w:eastAsia="黑体" w:cs="黑体"/>
          <w:b w:val="0"/>
          <w:bCs/>
          <w:color w:val="auto"/>
          <w:kern w:val="0"/>
          <w:sz w:val="32"/>
          <w:szCs w:val="32"/>
          <w:lang w:val="en-US" w:eastAsia="zh-CN" w:bidi="ar-SA"/>
        </w:rPr>
        <w:t xml:space="preserve">第三十九条 </w:t>
      </w:r>
      <w:r>
        <w:rPr>
          <w:rFonts w:hint="eastAsia" w:ascii="仿宋_GB2312" w:hAnsi="仿宋_GB2312" w:eastAsia="仿宋_GB2312" w:cs="仿宋_GB2312"/>
          <w:color w:val="000000"/>
          <w:kern w:val="0"/>
          <w:sz w:val="32"/>
          <w:szCs w:val="32"/>
          <w:lang w:val="en-US" w:eastAsia="zh-CN"/>
        </w:rPr>
        <w:t>建立守信激励和失信惩戒机制，加强对守信行为的倡导和褒扬，依法对失信行为进行惩戒和约束。</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守信激励和失信惩戒实行清单动态管理制度。</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both"/>
        <w:textAlignment w:val="auto"/>
        <w:rPr>
          <w:rFonts w:hint="eastAsia" w:ascii="仿宋" w:hAnsi="仿宋" w:eastAsia="仿宋" w:cs="仿宋"/>
          <w:color w:val="auto"/>
          <w:kern w:val="0"/>
          <w:sz w:val="32"/>
          <w:szCs w:val="32"/>
        </w:rPr>
      </w:pPr>
      <w:r>
        <w:rPr>
          <w:rFonts w:hint="eastAsia" w:ascii="黑体" w:hAnsi="黑体" w:eastAsia="黑体" w:cs="黑体"/>
          <w:b w:val="0"/>
          <w:bCs/>
          <w:color w:val="auto"/>
          <w:kern w:val="0"/>
          <w:sz w:val="32"/>
          <w:szCs w:val="32"/>
          <w:lang w:val="en-US" w:eastAsia="zh-CN" w:bidi="ar-SA"/>
        </w:rPr>
        <w:t xml:space="preserve">第四十条 </w:t>
      </w:r>
      <w:r>
        <w:rPr>
          <w:rFonts w:hint="eastAsia" w:ascii="仿宋_GB2312" w:hAnsi="仿宋_GB2312" w:eastAsia="仿宋_GB2312" w:cs="仿宋_GB2312"/>
          <w:color w:val="000000"/>
          <w:kern w:val="0"/>
          <w:sz w:val="32"/>
          <w:szCs w:val="32"/>
          <w:lang w:val="en-US" w:eastAsia="zh-CN"/>
        </w:rPr>
        <w:t>各级人民政府社会信用主管部门会同有关部门负责制定、更新守信激励措施清单。制定、更新守信激励措施清单，应当明确激励措施、激励内容、激励对象、实施主体等内容。经公开征求意见后，报请本级人民政府同意后向社会公布，由市人民政府社会信用主管部门统一报送省人民政府社会信用主管部门。</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 w:hAnsi="仿宋" w:eastAsia="仿宋" w:cs="仿宋"/>
          <w:color w:val="auto"/>
          <w:kern w:val="0"/>
          <w:sz w:val="32"/>
          <w:szCs w:val="32"/>
        </w:rPr>
      </w:pPr>
      <w:r>
        <w:rPr>
          <w:rFonts w:hint="eastAsia" w:ascii="黑体" w:hAnsi="黑体" w:eastAsia="黑体" w:cs="黑体"/>
          <w:b w:val="0"/>
          <w:bCs/>
          <w:color w:val="auto"/>
          <w:kern w:val="0"/>
          <w:sz w:val="32"/>
          <w:szCs w:val="32"/>
          <w:lang w:val="en-US" w:eastAsia="zh-CN" w:bidi="ar-SA"/>
        </w:rPr>
        <w:t xml:space="preserve">第四十一条 </w:t>
      </w:r>
      <w:r>
        <w:rPr>
          <w:rFonts w:hint="eastAsia" w:ascii="仿宋_GB2312" w:hAnsi="仿宋_GB2312" w:eastAsia="仿宋_GB2312" w:cs="仿宋_GB2312"/>
          <w:color w:val="000000"/>
          <w:kern w:val="0"/>
          <w:sz w:val="32"/>
          <w:szCs w:val="32"/>
          <w:lang w:val="en-US" w:eastAsia="zh-CN"/>
        </w:rPr>
        <w:t>国家机关和法律、法规授权的具有管理公共事务职能的组织，应当按照守信激励措施清单规定认定相关领域守信激励对象。</w:t>
      </w:r>
      <w:r>
        <w:rPr>
          <w:rFonts w:hint="eastAsia" w:ascii="仿宋" w:hAnsi="仿宋" w:eastAsia="仿宋" w:cs="仿宋"/>
          <w:color w:val="auto"/>
          <w:kern w:val="0"/>
          <w:sz w:val="32"/>
          <w:szCs w:val="32"/>
        </w:rPr>
        <w:t> </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对拟认定为守信激励对象的，应当予以公示。经公示无异议的，认定为守信激励对象。有异议的，由认定单位核实处理。对核实处理结果仍有异议的，可以向本级人民政府社会信用主管部门申请复核。</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黑体" w:hAnsi="黑体" w:eastAsia="黑体" w:cs="黑体"/>
          <w:b w:val="0"/>
          <w:bCs/>
          <w:color w:val="auto"/>
          <w:sz w:val="32"/>
          <w:szCs w:val="32"/>
        </w:rPr>
        <w:t>第四十</w:t>
      </w:r>
      <w:r>
        <w:rPr>
          <w:rFonts w:hint="eastAsia" w:ascii="黑体" w:hAnsi="黑体" w:eastAsia="黑体" w:cs="黑体"/>
          <w:b w:val="0"/>
          <w:bCs/>
          <w:color w:val="auto"/>
          <w:sz w:val="32"/>
          <w:szCs w:val="32"/>
          <w:lang w:eastAsia="zh-CN"/>
        </w:rPr>
        <w:t>二</w:t>
      </w:r>
      <w:r>
        <w:rPr>
          <w:rFonts w:hint="eastAsia" w:ascii="黑体" w:hAnsi="黑体" w:eastAsia="黑体" w:cs="黑体"/>
          <w:b w:val="0"/>
          <w:bCs/>
          <w:color w:val="auto"/>
          <w:sz w:val="32"/>
          <w:szCs w:val="32"/>
        </w:rPr>
        <w:t>条</w:t>
      </w:r>
      <w:r>
        <w:rPr>
          <w:rFonts w:hint="eastAsia" w:ascii="黑体" w:hAnsi="黑体" w:eastAsia="黑体" w:cs="黑体"/>
          <w:b w:val="0"/>
          <w:bCs/>
          <w:color w:val="auto"/>
          <w:sz w:val="32"/>
          <w:szCs w:val="32"/>
          <w:lang w:val="en-US" w:eastAsia="zh-CN"/>
        </w:rPr>
        <w:t xml:space="preserve"> </w:t>
      </w:r>
      <w:r>
        <w:rPr>
          <w:rFonts w:hint="eastAsia" w:ascii="仿宋_GB2312" w:hAnsi="仿宋_GB2312" w:eastAsia="仿宋_GB2312" w:cs="仿宋_GB2312"/>
          <w:color w:val="000000"/>
          <w:kern w:val="0"/>
          <w:sz w:val="32"/>
          <w:szCs w:val="32"/>
          <w:lang w:val="en-US" w:eastAsia="zh-CN"/>
        </w:rPr>
        <w:t>守信激励措施实行清单管理，可以从下列范围内确定：</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（一）在办理适用信用承诺制的行政许可事项时，申请人承诺符合审批条件并提交有关材料的，可以给予容缺受理、程序简化等便利服务措施；</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（二）在财政性资金和项目支持中，同等条件下列为优先选择对象；</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（三）在政府投资项目招标、国有土地出让等活动中，同等条件下给予政策支持；</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（四）在日常监管中，合理降低抽查比例和频次；</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（五）在信用综合服务平台进行公示，在会展、银企对接、评优评先等活动中推介；</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（六）法律、法规和国家规定的其他激励措施。</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黑体" w:hAnsi="黑体" w:eastAsia="黑体" w:cs="黑体"/>
          <w:b w:val="0"/>
          <w:bCs/>
          <w:color w:val="auto"/>
          <w:sz w:val="32"/>
          <w:szCs w:val="32"/>
        </w:rPr>
        <w:t>第四十</w:t>
      </w:r>
      <w:r>
        <w:rPr>
          <w:rFonts w:hint="eastAsia" w:ascii="黑体" w:hAnsi="黑体" w:eastAsia="黑体" w:cs="黑体"/>
          <w:b w:val="0"/>
          <w:bCs/>
          <w:color w:val="auto"/>
          <w:sz w:val="32"/>
          <w:szCs w:val="32"/>
          <w:lang w:eastAsia="zh-CN"/>
        </w:rPr>
        <w:t>三</w:t>
      </w:r>
      <w:r>
        <w:rPr>
          <w:rFonts w:hint="eastAsia" w:ascii="黑体" w:hAnsi="黑体" w:eastAsia="黑体" w:cs="黑体"/>
          <w:b w:val="0"/>
          <w:bCs/>
          <w:color w:val="auto"/>
          <w:sz w:val="32"/>
          <w:szCs w:val="32"/>
        </w:rPr>
        <w:t>条</w:t>
      </w:r>
      <w:r>
        <w:rPr>
          <w:rFonts w:hint="eastAsia" w:ascii="黑体" w:hAnsi="黑体" w:eastAsia="黑体" w:cs="黑体"/>
          <w:b w:val="0"/>
          <w:bCs/>
          <w:color w:val="auto"/>
          <w:sz w:val="32"/>
          <w:szCs w:val="32"/>
          <w:lang w:val="en-US" w:eastAsia="zh-CN"/>
        </w:rPr>
        <w:t xml:space="preserve"> </w:t>
      </w:r>
      <w:r>
        <w:rPr>
          <w:rFonts w:hint="eastAsia" w:ascii="仿宋_GB2312" w:hAnsi="仿宋_GB2312" w:eastAsia="仿宋_GB2312" w:cs="仿宋_GB2312"/>
          <w:color w:val="000000"/>
          <w:kern w:val="0"/>
          <w:sz w:val="32"/>
          <w:szCs w:val="32"/>
          <w:lang w:val="en-US" w:eastAsia="zh-CN"/>
        </w:rPr>
        <w:t>失信惩戒按照失信惩戒措施清单执行。失信惩戒措施清单包括全国失信惩戒措施基础清单和地方失信惩戒措施补充清单。</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社会信用主管部门会同国家机关和法律、法规授权的具有管理公共事务职能的组织，可以依据上级有关规定，编制适用于本行政区域的地方失信惩戒措施补充清单，列明惩戒的具体事项、实施对象、实施手段、实施主体、实施依据等内容，提请本级人民政府审定后，向社会公布。</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编制地方失信惩戒措施补充清单，应当征求地方有关部门和相关市场主体、行业协会商会、专家学者和社会公众等方面的意见。</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县级人民政府公布的地方失信惩戒措施补充清单，应当报市人民政府社会信用主管部门，由市人民政府社会信用主管部门报送省人民政府社会信用主管部门。</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黑体" w:hAnsi="黑体" w:eastAsia="黑体" w:cs="黑体"/>
          <w:b w:val="0"/>
          <w:bCs/>
          <w:color w:val="auto"/>
          <w:sz w:val="32"/>
          <w:szCs w:val="32"/>
        </w:rPr>
        <w:t>第四十</w:t>
      </w:r>
      <w:r>
        <w:rPr>
          <w:rFonts w:hint="eastAsia" w:ascii="黑体" w:hAnsi="黑体" w:eastAsia="黑体" w:cs="黑体"/>
          <w:b w:val="0"/>
          <w:bCs/>
          <w:color w:val="auto"/>
          <w:sz w:val="32"/>
          <w:szCs w:val="32"/>
          <w:lang w:eastAsia="zh-CN"/>
        </w:rPr>
        <w:t>四</w:t>
      </w:r>
      <w:r>
        <w:rPr>
          <w:rFonts w:hint="eastAsia" w:ascii="黑体" w:hAnsi="黑体" w:eastAsia="黑体" w:cs="黑体"/>
          <w:b w:val="0"/>
          <w:bCs/>
          <w:color w:val="auto"/>
          <w:sz w:val="32"/>
          <w:szCs w:val="32"/>
        </w:rPr>
        <w:t>条</w:t>
      </w:r>
      <w:r>
        <w:rPr>
          <w:rFonts w:hint="eastAsia" w:ascii="黑体" w:hAnsi="黑体" w:eastAsia="黑体" w:cs="黑体"/>
          <w:b w:val="0"/>
          <w:bCs/>
          <w:color w:val="auto"/>
          <w:sz w:val="32"/>
          <w:szCs w:val="32"/>
          <w:lang w:val="en-US" w:eastAsia="zh-CN"/>
        </w:rPr>
        <w:t xml:space="preserve"> </w:t>
      </w:r>
      <w:r>
        <w:rPr>
          <w:rFonts w:hint="eastAsia" w:ascii="仿宋_GB2312" w:hAnsi="仿宋_GB2312" w:eastAsia="仿宋_GB2312" w:cs="仿宋_GB2312"/>
          <w:color w:val="000000"/>
          <w:kern w:val="0"/>
          <w:sz w:val="32"/>
          <w:szCs w:val="32"/>
          <w:lang w:val="en-US" w:eastAsia="zh-CN"/>
        </w:rPr>
        <w:t>地方失信惩戒措施补充清单确定的惩戒措施，应当限制在下列范围：</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（一）在行政管理和公共服务中，限制享受相关便利；</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（二）在日常监督管理和专项检查中，列为重点监督管理对象，提高抽查比例、增加检查频次，加强现场检查；</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（三）在财政性资金补助、创业扶持等政府优惠政策实施中，予以相应限制；</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（四）在公共资源交易中，予以相应减分；</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（五）限制参与政府投资或者政府与社会资本合作的建设项目；</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（六）在评比表彰中，作出相应限制；</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（七）撤销相关荣誉；</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 w:hAnsi="仿宋" w:eastAsia="仿宋" w:cs="仿宋"/>
          <w:color w:val="auto"/>
          <w:sz w:val="32"/>
          <w:szCs w:val="32"/>
        </w:rPr>
      </w:pPr>
      <w:r>
        <w:rPr>
          <w:rFonts w:hint="eastAsia" w:ascii="仿宋_GB2312" w:hAnsi="仿宋_GB2312" w:eastAsia="仿宋_GB2312" w:cs="仿宋_GB2312"/>
          <w:color w:val="000000"/>
          <w:kern w:val="0"/>
          <w:sz w:val="32"/>
          <w:szCs w:val="32"/>
          <w:lang w:val="en-US" w:eastAsia="zh-CN"/>
        </w:rPr>
        <w:t>（八）其他失信惩戒措施。</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 w:hAnsi="仿宋" w:eastAsia="仿宋" w:cs="仿宋"/>
          <w:color w:val="auto"/>
          <w:kern w:val="0"/>
          <w:sz w:val="32"/>
          <w:szCs w:val="32"/>
        </w:rPr>
      </w:pPr>
      <w:r>
        <w:rPr>
          <w:rFonts w:hint="eastAsia" w:ascii="黑体" w:hAnsi="黑体" w:eastAsia="黑体" w:cs="黑体"/>
          <w:b w:val="0"/>
          <w:bCs/>
          <w:color w:val="auto"/>
          <w:kern w:val="0"/>
          <w:sz w:val="32"/>
          <w:szCs w:val="32"/>
          <w:lang w:val="en-US" w:eastAsia="zh-CN" w:bidi="ar-SA"/>
        </w:rPr>
        <w:t xml:space="preserve">第四十五条 </w:t>
      </w:r>
      <w:r>
        <w:rPr>
          <w:rFonts w:hint="eastAsia" w:ascii="仿宋_GB2312" w:hAnsi="仿宋_GB2312" w:eastAsia="仿宋_GB2312" w:cs="仿宋_GB2312"/>
          <w:color w:val="000000"/>
          <w:kern w:val="0"/>
          <w:sz w:val="32"/>
          <w:szCs w:val="32"/>
          <w:lang w:val="en-US" w:eastAsia="zh-CN"/>
        </w:rPr>
        <w:t>国家机关和法律、法规授权的具有管理公共事务职能的组织，应当按照全国失信惩戒措施基础清单和地方失信惩戒措施补充清单规定，认定相关领域失信惩戒对象，认定失信行为应当以具有法律效力的文书为依据。</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黑体" w:hAnsi="黑体" w:eastAsia="黑体" w:cs="黑体"/>
          <w:b w:val="0"/>
          <w:bCs/>
          <w:color w:val="auto"/>
          <w:kern w:val="0"/>
          <w:sz w:val="32"/>
          <w:szCs w:val="32"/>
          <w:lang w:val="en-US" w:eastAsia="zh-CN" w:bidi="ar-SA"/>
        </w:rPr>
        <w:t xml:space="preserve">第四十六条 </w:t>
      </w:r>
      <w:r>
        <w:rPr>
          <w:rFonts w:hint="eastAsia" w:ascii="仿宋_GB2312" w:hAnsi="仿宋_GB2312" w:eastAsia="仿宋_GB2312" w:cs="仿宋_GB2312"/>
          <w:color w:val="000000"/>
          <w:kern w:val="0"/>
          <w:sz w:val="32"/>
          <w:szCs w:val="32"/>
          <w:lang w:val="en-US" w:eastAsia="zh-CN"/>
        </w:rPr>
        <w:t>对拟认定为失信惩戒对象的，应当通知当事人，书面告知其实施失信惩戒的事由、依据、失信惩戒措施和依法享有的权利。有异议的，由认定单位核实处理。对核实处理结果仍有异议的，可以向本级人民政府社会信用主管部门申请复核。</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黑体" w:hAnsi="黑体" w:eastAsia="黑体" w:cs="黑体"/>
          <w:b w:val="0"/>
          <w:bCs/>
          <w:color w:val="auto"/>
          <w:kern w:val="0"/>
          <w:sz w:val="32"/>
          <w:szCs w:val="32"/>
          <w:lang w:val="en-US" w:eastAsia="zh-CN" w:bidi="ar-SA"/>
        </w:rPr>
        <w:t>第四十七条</w:t>
      </w:r>
      <w:r>
        <w:rPr>
          <w:rFonts w:hint="eastAsia" w:ascii="仿宋" w:hAnsi="仿宋" w:eastAsia="仿宋" w:cs="仿宋"/>
          <w:color w:val="auto"/>
          <w:sz w:val="32"/>
          <w:szCs w:val="32"/>
        </w:rPr>
        <w:t xml:space="preserve"> </w:t>
      </w:r>
      <w:r>
        <w:rPr>
          <w:rFonts w:hint="eastAsia" w:ascii="仿宋_GB2312" w:hAnsi="仿宋_GB2312" w:eastAsia="仿宋_GB2312" w:cs="仿宋_GB2312"/>
          <w:color w:val="000000"/>
          <w:kern w:val="0"/>
          <w:sz w:val="32"/>
          <w:szCs w:val="32"/>
          <w:lang w:val="en-US" w:eastAsia="zh-CN"/>
        </w:rPr>
        <w:t>实施失信惩戒应当以法律法规、国家有关文件的规定和失信惩戒措施清单为依据，与失信情形相关联，与失信行为的性质、领域、情节和社会危害程度相当。</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禁止在法律法规和国家有关文件的规定外增设失信惩戒措施或者加重惩戒。禁止对信用主体以外的第三人实施失信惩戒。</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 w:hAnsi="仿宋" w:eastAsia="仿宋" w:cs="仿宋"/>
          <w:color w:val="auto"/>
          <w:sz w:val="32"/>
          <w:szCs w:val="32"/>
        </w:rPr>
      </w:pPr>
      <w:r>
        <w:rPr>
          <w:rFonts w:hint="eastAsia" w:ascii="黑体" w:hAnsi="黑体" w:eastAsia="黑体" w:cs="黑体"/>
          <w:b w:val="0"/>
          <w:bCs/>
          <w:color w:val="auto"/>
          <w:sz w:val="32"/>
          <w:szCs w:val="32"/>
        </w:rPr>
        <w:t>第</w:t>
      </w:r>
      <w:r>
        <w:rPr>
          <w:rFonts w:hint="eastAsia" w:ascii="黑体" w:hAnsi="黑体" w:eastAsia="黑体" w:cs="黑体"/>
          <w:b w:val="0"/>
          <w:bCs/>
          <w:color w:val="auto"/>
          <w:sz w:val="32"/>
          <w:szCs w:val="32"/>
          <w:lang w:eastAsia="zh-CN"/>
        </w:rPr>
        <w:t>四十八</w:t>
      </w:r>
      <w:r>
        <w:rPr>
          <w:rFonts w:hint="eastAsia" w:ascii="黑体" w:hAnsi="黑体" w:eastAsia="黑体" w:cs="黑体"/>
          <w:b w:val="0"/>
          <w:bCs/>
          <w:color w:val="auto"/>
          <w:sz w:val="32"/>
          <w:szCs w:val="32"/>
        </w:rPr>
        <w:t>条</w:t>
      </w:r>
      <w:r>
        <w:rPr>
          <w:rFonts w:hint="eastAsia" w:ascii="仿宋" w:hAnsi="仿宋" w:eastAsia="仿宋" w:cs="仿宋"/>
          <w:color w:val="auto"/>
          <w:sz w:val="32"/>
          <w:szCs w:val="32"/>
        </w:rPr>
        <w:t xml:space="preserve"> </w:t>
      </w:r>
      <w:r>
        <w:rPr>
          <w:rFonts w:hint="eastAsia" w:ascii="仿宋_GB2312" w:hAnsi="仿宋_GB2312" w:eastAsia="仿宋_GB2312" w:cs="仿宋_GB2312"/>
          <w:color w:val="000000"/>
          <w:kern w:val="0"/>
          <w:sz w:val="32"/>
          <w:szCs w:val="32"/>
          <w:lang w:val="en-US" w:eastAsia="zh-CN" w:bidi="ar-SA"/>
        </w:rPr>
        <w:t>社会信用主管部门应当推动建立对依法列入严重失信主体名单的信用主体惩戒机制，依托省公共信用信息系统推进信用信息共享，保障失信惩戒参与单位及时获取严重失信主体名单等信息，逐步实现自动比对、自动拦截。</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both"/>
        <w:textAlignment w:val="auto"/>
        <w:rPr>
          <w:rFonts w:hint="eastAsia" w:ascii="仿宋" w:hAnsi="仿宋" w:eastAsia="仿宋" w:cs="仿宋"/>
          <w:color w:val="auto"/>
          <w:kern w:val="0"/>
          <w:sz w:val="32"/>
          <w:szCs w:val="32"/>
        </w:rPr>
      </w:pPr>
      <w:r>
        <w:rPr>
          <w:rFonts w:hint="eastAsia" w:ascii="黑体" w:hAnsi="黑体" w:eastAsia="黑体" w:cs="黑体"/>
          <w:b w:val="0"/>
          <w:bCs/>
          <w:color w:val="auto"/>
          <w:kern w:val="0"/>
          <w:sz w:val="32"/>
          <w:szCs w:val="32"/>
          <w:lang w:val="en-US" w:eastAsia="zh-CN" w:bidi="ar-SA"/>
        </w:rPr>
        <w:t>第四十九条</w:t>
      </w:r>
      <w:r>
        <w:rPr>
          <w:rFonts w:hint="eastAsia" w:ascii="仿宋" w:hAnsi="仿宋" w:eastAsia="仿宋" w:cs="仿宋"/>
          <w:color w:val="auto"/>
          <w:kern w:val="0"/>
          <w:sz w:val="32"/>
          <w:szCs w:val="32"/>
        </w:rPr>
        <w:t> </w:t>
      </w:r>
      <w:r>
        <w:rPr>
          <w:rFonts w:hint="eastAsia" w:ascii="仿宋_GB2312" w:hAnsi="仿宋_GB2312" w:eastAsia="仿宋_GB2312" w:cs="仿宋_GB2312"/>
          <w:color w:val="000000"/>
          <w:kern w:val="0"/>
          <w:sz w:val="32"/>
          <w:szCs w:val="32"/>
          <w:lang w:val="en-US" w:eastAsia="zh-CN"/>
        </w:rPr>
        <w:t>坚决依法依规实施市场和行业禁入措施。以食品药品、生态环境、工程质量、安全生产、养老托幼、城市运行安全等与人民群众生命财产安全直接相关的领域为重点，实施严格监管，加大惩戒力度。对拒不履行司法裁判或行政处罚决定、屡犯不改、造成重大损失的市场主体及其相关责任人，坚决依法依规在一定期限内实施市场和行业禁入措施，直至永远逐出市场。</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黑体" w:hAnsi="黑体" w:eastAsia="黑体" w:cs="黑体"/>
          <w:b w:val="0"/>
          <w:bCs/>
          <w:color w:val="auto"/>
          <w:kern w:val="0"/>
          <w:sz w:val="32"/>
          <w:szCs w:val="32"/>
          <w:lang w:val="en-US" w:eastAsia="zh-CN" w:bidi="ar-SA"/>
        </w:rPr>
        <w:t>第五十条</w:t>
      </w:r>
      <w:r>
        <w:rPr>
          <w:rFonts w:hint="eastAsia" w:ascii="仿宋" w:hAnsi="仿宋" w:eastAsia="仿宋" w:cs="仿宋"/>
          <w:b/>
          <w:bCs/>
          <w:color w:val="auto"/>
          <w:sz w:val="32"/>
          <w:szCs w:val="32"/>
        </w:rPr>
        <w:t xml:space="preserve"> </w:t>
      </w:r>
      <w:r>
        <w:rPr>
          <w:rFonts w:hint="eastAsia" w:ascii="仿宋_GB2312" w:hAnsi="仿宋_GB2312" w:eastAsia="仿宋_GB2312" w:cs="仿宋_GB2312"/>
          <w:color w:val="000000"/>
          <w:kern w:val="0"/>
          <w:sz w:val="32"/>
          <w:szCs w:val="32"/>
          <w:lang w:val="en-US" w:eastAsia="zh-CN"/>
        </w:rPr>
        <w:t>鼓励行业协会商会依据章程对信用状况良好的会员采取重点推荐、表扬奖励、提高评价等级等措施，对信用状况不良的会员采取警示告诫、通报批评、降低评价等级、取消会员资格等措施。</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　　 </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576" w:lineRule="exact"/>
        <w:jc w:val="center"/>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第六章 信用服务业发展</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576" w:lineRule="exact"/>
        <w:ind w:firstLine="640" w:firstLineChars="200"/>
        <w:jc w:val="center"/>
        <w:textAlignment w:val="auto"/>
        <w:rPr>
          <w:rFonts w:hint="eastAsia" w:ascii="黑体" w:hAnsi="黑体" w:eastAsia="黑体" w:cs="黑体"/>
          <w:b w:val="0"/>
          <w:bCs/>
          <w:color w:val="auto"/>
          <w:sz w:val="32"/>
          <w:szCs w:val="32"/>
        </w:rPr>
      </w:pPr>
    </w:p>
    <w:p>
      <w:pPr>
        <w:pStyle w:val="7"/>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 w:hAnsi="仿宋" w:eastAsia="仿宋" w:cs="仿宋"/>
          <w:color w:val="auto"/>
          <w:sz w:val="32"/>
          <w:szCs w:val="32"/>
        </w:rPr>
      </w:pPr>
      <w:r>
        <w:rPr>
          <w:rFonts w:hint="eastAsia" w:ascii="黑体" w:hAnsi="黑体" w:eastAsia="黑体" w:cs="黑体"/>
          <w:b w:val="0"/>
          <w:bCs/>
          <w:color w:val="auto"/>
          <w:sz w:val="32"/>
          <w:szCs w:val="32"/>
        </w:rPr>
        <w:t>第五十</w:t>
      </w:r>
      <w:r>
        <w:rPr>
          <w:rFonts w:hint="eastAsia" w:ascii="黑体" w:hAnsi="黑体" w:eastAsia="黑体" w:cs="黑体"/>
          <w:b w:val="0"/>
          <w:bCs/>
          <w:color w:val="auto"/>
          <w:sz w:val="32"/>
          <w:szCs w:val="32"/>
          <w:lang w:eastAsia="zh-CN"/>
        </w:rPr>
        <w:t>一</w:t>
      </w:r>
      <w:r>
        <w:rPr>
          <w:rFonts w:hint="eastAsia" w:ascii="黑体" w:hAnsi="黑体" w:eastAsia="黑体" w:cs="黑体"/>
          <w:b w:val="0"/>
          <w:bCs/>
          <w:color w:val="auto"/>
          <w:sz w:val="32"/>
          <w:szCs w:val="32"/>
        </w:rPr>
        <w:t>条</w:t>
      </w:r>
      <w:r>
        <w:rPr>
          <w:rFonts w:hint="eastAsia" w:ascii="仿宋" w:hAnsi="仿宋" w:eastAsia="仿宋" w:cs="仿宋"/>
          <w:b/>
          <w:color w:val="auto"/>
          <w:sz w:val="32"/>
          <w:szCs w:val="32"/>
        </w:rPr>
        <w:t xml:space="preserve"> </w:t>
      </w:r>
      <w:r>
        <w:rPr>
          <w:rFonts w:hint="eastAsia" w:ascii="仿宋_GB2312" w:hAnsi="仿宋_GB2312" w:eastAsia="仿宋_GB2312" w:cs="仿宋_GB2312"/>
          <w:color w:val="000000"/>
          <w:kern w:val="0"/>
          <w:sz w:val="32"/>
          <w:szCs w:val="32"/>
          <w:lang w:val="en-US" w:eastAsia="zh-CN" w:bidi="ar-SA"/>
        </w:rPr>
        <w:t>各级人民政府应当培育、发展现代信用服务业，制定信用服务业发展规划和产业发展政策，促进信用服务业健康有序发展。</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黑体" w:hAnsi="黑体" w:eastAsia="黑体" w:cs="黑体"/>
          <w:b w:val="0"/>
          <w:bCs/>
          <w:color w:val="auto"/>
          <w:sz w:val="32"/>
          <w:szCs w:val="32"/>
        </w:rPr>
        <w:t>第五十</w:t>
      </w:r>
      <w:r>
        <w:rPr>
          <w:rFonts w:hint="eastAsia" w:ascii="黑体" w:hAnsi="黑体" w:eastAsia="黑体" w:cs="黑体"/>
          <w:b w:val="0"/>
          <w:bCs/>
          <w:color w:val="auto"/>
          <w:sz w:val="32"/>
          <w:szCs w:val="32"/>
          <w:lang w:eastAsia="zh-CN"/>
        </w:rPr>
        <w:t>二</w:t>
      </w:r>
      <w:r>
        <w:rPr>
          <w:rFonts w:hint="eastAsia" w:ascii="黑体" w:hAnsi="黑体" w:eastAsia="黑体" w:cs="黑体"/>
          <w:b w:val="0"/>
          <w:bCs/>
          <w:color w:val="auto"/>
          <w:sz w:val="32"/>
          <w:szCs w:val="32"/>
        </w:rPr>
        <w:t>条</w:t>
      </w:r>
      <w:r>
        <w:rPr>
          <w:rFonts w:hint="eastAsia" w:ascii="仿宋" w:hAnsi="仿宋" w:eastAsia="仿宋" w:cs="仿宋"/>
          <w:b/>
          <w:color w:val="auto"/>
          <w:sz w:val="32"/>
          <w:szCs w:val="32"/>
        </w:rPr>
        <w:t xml:space="preserve"> </w:t>
      </w:r>
      <w:r>
        <w:rPr>
          <w:rFonts w:hint="eastAsia" w:ascii="仿宋_GB2312" w:hAnsi="仿宋_GB2312" w:eastAsia="仿宋_GB2312" w:cs="仿宋_GB2312"/>
          <w:color w:val="000000"/>
          <w:kern w:val="0"/>
          <w:sz w:val="32"/>
          <w:szCs w:val="32"/>
          <w:lang w:val="en-US" w:eastAsia="zh-CN"/>
        </w:rPr>
        <w:t>各级人民政府应当推动公共信用信息向市场主体有序开放，建立适应数字经济、平台经济、共享经济、普惠金融发展的信用管理机制，引导市场主体将信用作为市场资源配置要素，扩大信用交易规模，发展信用经济。</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国家机关和法律、法规授权的具有管理公共事务职能的组织应当加强与信用服务机构、行业协会商会以及其他组织的信用信息合作，推动公共信用信息和市场信用信息在商务、金融、民生等领域融合应用。</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 w:hAnsi="仿宋" w:eastAsia="仿宋" w:cs="仿宋"/>
          <w:color w:val="auto"/>
          <w:sz w:val="32"/>
          <w:szCs w:val="32"/>
        </w:rPr>
      </w:pPr>
      <w:r>
        <w:rPr>
          <w:rFonts w:hint="eastAsia" w:ascii="黑体" w:hAnsi="黑体" w:eastAsia="黑体" w:cs="黑体"/>
          <w:b w:val="0"/>
          <w:bCs/>
          <w:color w:val="auto"/>
          <w:sz w:val="32"/>
          <w:szCs w:val="32"/>
        </w:rPr>
        <w:t>第五十</w:t>
      </w:r>
      <w:r>
        <w:rPr>
          <w:rFonts w:hint="eastAsia" w:ascii="黑体" w:hAnsi="黑体" w:eastAsia="黑体" w:cs="黑体"/>
          <w:b w:val="0"/>
          <w:bCs/>
          <w:color w:val="auto"/>
          <w:sz w:val="32"/>
          <w:szCs w:val="32"/>
          <w:lang w:eastAsia="zh-CN"/>
        </w:rPr>
        <w:t>三</w:t>
      </w:r>
      <w:r>
        <w:rPr>
          <w:rFonts w:hint="eastAsia" w:ascii="黑体" w:hAnsi="黑体" w:eastAsia="黑体" w:cs="黑体"/>
          <w:b w:val="0"/>
          <w:bCs/>
          <w:color w:val="auto"/>
          <w:sz w:val="32"/>
          <w:szCs w:val="32"/>
        </w:rPr>
        <w:t>条</w:t>
      </w:r>
      <w:r>
        <w:rPr>
          <w:rFonts w:hint="eastAsia" w:ascii="仿宋" w:hAnsi="仿宋" w:eastAsia="仿宋" w:cs="仿宋"/>
          <w:b/>
          <w:color w:val="auto"/>
          <w:sz w:val="32"/>
          <w:szCs w:val="32"/>
        </w:rPr>
        <w:t xml:space="preserve"> </w:t>
      </w:r>
      <w:r>
        <w:rPr>
          <w:rFonts w:hint="eastAsia" w:ascii="仿宋_GB2312" w:hAnsi="仿宋_GB2312" w:eastAsia="仿宋_GB2312" w:cs="仿宋_GB2312"/>
          <w:color w:val="000000"/>
          <w:kern w:val="0"/>
          <w:sz w:val="32"/>
          <w:szCs w:val="32"/>
          <w:lang w:val="en-US" w:eastAsia="zh-CN" w:bidi="ar-SA"/>
        </w:rPr>
        <w:t>积极推动社会信用服务机构体系建设。推动信用调查、信用保险、信用担保、信用管理和信用咨询培训等信用服务业发展，形成门类齐全、功能互补、依法经营、自负盈亏、有市场公信力的信用服务机构体系。</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黑体" w:hAnsi="黑体" w:eastAsia="黑体" w:cs="黑体"/>
          <w:b w:val="0"/>
          <w:bCs/>
          <w:color w:val="auto"/>
          <w:sz w:val="32"/>
          <w:szCs w:val="32"/>
        </w:rPr>
        <w:t>第五十</w:t>
      </w:r>
      <w:r>
        <w:rPr>
          <w:rFonts w:hint="eastAsia" w:ascii="黑体" w:hAnsi="黑体" w:eastAsia="黑体" w:cs="黑体"/>
          <w:b w:val="0"/>
          <w:bCs/>
          <w:color w:val="auto"/>
          <w:sz w:val="32"/>
          <w:szCs w:val="32"/>
          <w:lang w:eastAsia="zh-CN"/>
        </w:rPr>
        <w:t>四</w:t>
      </w:r>
      <w:r>
        <w:rPr>
          <w:rFonts w:hint="eastAsia" w:ascii="黑体" w:hAnsi="黑体" w:eastAsia="黑体" w:cs="黑体"/>
          <w:b w:val="0"/>
          <w:bCs/>
          <w:color w:val="auto"/>
          <w:sz w:val="32"/>
          <w:szCs w:val="32"/>
        </w:rPr>
        <w:t>条</w:t>
      </w:r>
      <w:r>
        <w:rPr>
          <w:rFonts w:hint="eastAsia" w:ascii="仿宋" w:hAnsi="仿宋" w:eastAsia="仿宋" w:cs="仿宋"/>
          <w:b/>
          <w:color w:val="auto"/>
          <w:sz w:val="32"/>
          <w:szCs w:val="32"/>
        </w:rPr>
        <w:t xml:space="preserve"> </w:t>
      </w:r>
      <w:r>
        <w:rPr>
          <w:rFonts w:hint="eastAsia" w:ascii="仿宋_GB2312" w:hAnsi="仿宋_GB2312" w:eastAsia="仿宋_GB2312" w:cs="仿宋_GB2312"/>
          <w:color w:val="000000"/>
          <w:kern w:val="0"/>
          <w:sz w:val="32"/>
          <w:szCs w:val="32"/>
          <w:lang w:val="en-US" w:eastAsia="zh-CN"/>
        </w:rPr>
        <w:t>鼓励信用服务机构主动向社会信用主管部门提供登记信息、业务开展信息等。</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信用服务机构提供的登记信息、业务开展信息，由社会信用主管部门向社会公布。</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SA"/>
        </w:rPr>
      </w:pPr>
      <w:r>
        <w:rPr>
          <w:rFonts w:hint="eastAsia" w:ascii="黑体" w:hAnsi="黑体" w:eastAsia="黑体" w:cs="黑体"/>
          <w:b w:val="0"/>
          <w:bCs/>
          <w:color w:val="auto"/>
          <w:sz w:val="32"/>
          <w:szCs w:val="32"/>
        </w:rPr>
        <w:t>第五十</w:t>
      </w:r>
      <w:r>
        <w:rPr>
          <w:rFonts w:hint="eastAsia" w:ascii="黑体" w:hAnsi="黑体" w:eastAsia="黑体" w:cs="黑体"/>
          <w:b w:val="0"/>
          <w:bCs/>
          <w:color w:val="auto"/>
          <w:sz w:val="32"/>
          <w:szCs w:val="32"/>
          <w:lang w:eastAsia="zh-CN"/>
        </w:rPr>
        <w:t>五</w:t>
      </w:r>
      <w:r>
        <w:rPr>
          <w:rFonts w:hint="eastAsia" w:ascii="黑体" w:hAnsi="黑体" w:eastAsia="黑体" w:cs="黑体"/>
          <w:b w:val="0"/>
          <w:bCs/>
          <w:color w:val="auto"/>
          <w:sz w:val="32"/>
          <w:szCs w:val="32"/>
        </w:rPr>
        <w:t>条</w:t>
      </w:r>
      <w:r>
        <w:rPr>
          <w:rFonts w:hint="eastAsia" w:ascii="仿宋" w:hAnsi="仿宋" w:eastAsia="仿宋" w:cs="仿宋"/>
          <w:b/>
          <w:color w:val="auto"/>
          <w:sz w:val="32"/>
          <w:szCs w:val="32"/>
        </w:rPr>
        <w:t xml:space="preserve"> </w:t>
      </w:r>
      <w:r>
        <w:rPr>
          <w:rFonts w:hint="eastAsia" w:ascii="仿宋_GB2312" w:hAnsi="仿宋_GB2312" w:eastAsia="仿宋_GB2312" w:cs="仿宋_GB2312"/>
          <w:color w:val="000000"/>
          <w:kern w:val="0"/>
          <w:sz w:val="32"/>
          <w:szCs w:val="32"/>
          <w:lang w:val="en-US" w:eastAsia="zh-CN" w:bidi="ar-SA"/>
        </w:rPr>
        <w:t>鼓励和支持信用服务机构开发具有自主知识产权的信用产品，拓展信用应用服务领域，提供多样化、定制化的信用产品和服务。</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黑体" w:hAnsi="黑体" w:eastAsia="黑体" w:cs="黑体"/>
          <w:b w:val="0"/>
          <w:bCs/>
          <w:color w:val="auto"/>
          <w:sz w:val="32"/>
          <w:szCs w:val="32"/>
        </w:rPr>
        <w:t>第五十</w:t>
      </w:r>
      <w:r>
        <w:rPr>
          <w:rFonts w:hint="eastAsia" w:ascii="黑体" w:hAnsi="黑体" w:eastAsia="黑体" w:cs="黑体"/>
          <w:b w:val="0"/>
          <w:bCs/>
          <w:color w:val="auto"/>
          <w:sz w:val="32"/>
          <w:szCs w:val="32"/>
          <w:lang w:eastAsia="zh-CN"/>
        </w:rPr>
        <w:t>六</w:t>
      </w:r>
      <w:r>
        <w:rPr>
          <w:rFonts w:hint="eastAsia" w:ascii="黑体" w:hAnsi="黑体" w:eastAsia="黑体" w:cs="黑体"/>
          <w:b w:val="0"/>
          <w:bCs/>
          <w:color w:val="auto"/>
          <w:sz w:val="32"/>
          <w:szCs w:val="32"/>
        </w:rPr>
        <w:t>条</w:t>
      </w:r>
      <w:r>
        <w:rPr>
          <w:rFonts w:hint="eastAsia" w:ascii="仿宋" w:hAnsi="仿宋" w:eastAsia="仿宋" w:cs="仿宋"/>
          <w:b/>
          <w:color w:val="auto"/>
          <w:sz w:val="32"/>
          <w:szCs w:val="32"/>
        </w:rPr>
        <w:t xml:space="preserve"> </w:t>
      </w:r>
      <w:r>
        <w:rPr>
          <w:rFonts w:hint="eastAsia" w:ascii="仿宋_GB2312" w:hAnsi="仿宋_GB2312" w:eastAsia="仿宋_GB2312" w:cs="仿宋_GB2312"/>
          <w:color w:val="000000"/>
          <w:kern w:val="0"/>
          <w:sz w:val="32"/>
          <w:szCs w:val="32"/>
          <w:lang w:val="en-US" w:eastAsia="zh-CN"/>
        </w:rPr>
        <w:t>信用服务机构使用、加工信用信息，提供信用产品，应当遵循合法、客观、公正和审慎的原则，符合国家和省有关信用服务行业规范，不得对信用主体信用状况作出虚假评价，依法接受监督管理。</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 w:hAnsi="仿宋" w:eastAsia="仿宋" w:cs="仿宋"/>
          <w:color w:val="auto"/>
          <w:sz w:val="32"/>
          <w:szCs w:val="32"/>
        </w:rPr>
      </w:pPr>
      <w:r>
        <w:rPr>
          <w:rFonts w:hint="eastAsia" w:ascii="仿宋_GB2312" w:hAnsi="仿宋_GB2312" w:eastAsia="仿宋_GB2312" w:cs="仿宋_GB2312"/>
          <w:color w:val="000000"/>
          <w:kern w:val="0"/>
          <w:sz w:val="32"/>
          <w:szCs w:val="32"/>
          <w:lang w:val="en-US" w:eastAsia="zh-CN"/>
        </w:rPr>
        <w:t>信用服务机构对在业务开展过程中知悉的国家秘密、商业秘密和个人隐私负有保密义务，不得危害国家安全、公共安全和公共利益，不得损害信用主体的合法权益。</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黑体" w:hAnsi="黑体" w:eastAsia="黑体" w:cs="黑体"/>
          <w:b w:val="0"/>
          <w:bCs/>
          <w:color w:val="auto"/>
          <w:sz w:val="32"/>
          <w:szCs w:val="32"/>
        </w:rPr>
        <w:t>第</w:t>
      </w:r>
      <w:r>
        <w:rPr>
          <w:rFonts w:hint="eastAsia" w:ascii="黑体" w:hAnsi="黑体" w:eastAsia="黑体" w:cs="黑体"/>
          <w:b w:val="0"/>
          <w:bCs/>
          <w:color w:val="auto"/>
          <w:sz w:val="32"/>
          <w:szCs w:val="32"/>
          <w:lang w:eastAsia="zh-CN"/>
        </w:rPr>
        <w:t>五十七</w:t>
      </w:r>
      <w:r>
        <w:rPr>
          <w:rFonts w:hint="eastAsia" w:ascii="黑体" w:hAnsi="黑体" w:eastAsia="黑体" w:cs="黑体"/>
          <w:b w:val="0"/>
          <w:bCs/>
          <w:color w:val="auto"/>
          <w:sz w:val="32"/>
          <w:szCs w:val="32"/>
        </w:rPr>
        <w:t>条</w:t>
      </w:r>
      <w:r>
        <w:rPr>
          <w:rFonts w:hint="eastAsia" w:ascii="仿宋" w:hAnsi="仿宋" w:eastAsia="仿宋" w:cs="仿宋"/>
          <w:b/>
          <w:color w:val="auto"/>
          <w:sz w:val="32"/>
          <w:szCs w:val="32"/>
        </w:rPr>
        <w:t xml:space="preserve"> </w:t>
      </w:r>
      <w:r>
        <w:rPr>
          <w:rFonts w:hint="eastAsia" w:ascii="仿宋_GB2312" w:hAnsi="仿宋_GB2312" w:eastAsia="仿宋_GB2312" w:cs="仿宋_GB2312"/>
          <w:color w:val="000000"/>
          <w:kern w:val="0"/>
          <w:sz w:val="32"/>
          <w:szCs w:val="32"/>
          <w:lang w:val="en-US" w:eastAsia="zh-CN"/>
        </w:rPr>
        <w:t>鼓励国家机关和法律、法规授权的具有管理公共事务职能的组织、市场主体以及其他社会组织应用信用服务机构提供的信用产品和服务。</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社会信用主管部门和其他相关监督管理部门应当加强对信用服务机构出具信用报告的规范管理，推动信用报告异地互认、跨行业互认。</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 w:hAnsi="仿宋" w:eastAsia="仿宋" w:cs="仿宋"/>
          <w:color w:val="auto"/>
          <w:sz w:val="32"/>
          <w:szCs w:val="32"/>
        </w:rPr>
      </w:pPr>
      <w:r>
        <w:rPr>
          <w:rFonts w:hint="eastAsia" w:ascii="黑体" w:hAnsi="黑体" w:eastAsia="黑体" w:cs="黑体"/>
          <w:b w:val="0"/>
          <w:bCs/>
          <w:color w:val="auto"/>
          <w:sz w:val="32"/>
          <w:szCs w:val="32"/>
        </w:rPr>
        <w:t>第</w:t>
      </w:r>
      <w:r>
        <w:rPr>
          <w:rFonts w:hint="eastAsia" w:ascii="黑体" w:hAnsi="黑体" w:eastAsia="黑体" w:cs="黑体"/>
          <w:b w:val="0"/>
          <w:bCs/>
          <w:color w:val="auto"/>
          <w:sz w:val="32"/>
          <w:szCs w:val="32"/>
          <w:lang w:eastAsia="zh-CN"/>
        </w:rPr>
        <w:t>五十八</w:t>
      </w:r>
      <w:r>
        <w:rPr>
          <w:rFonts w:hint="eastAsia" w:ascii="黑体" w:hAnsi="黑体" w:eastAsia="黑体" w:cs="黑体"/>
          <w:b w:val="0"/>
          <w:bCs/>
          <w:color w:val="auto"/>
          <w:sz w:val="32"/>
          <w:szCs w:val="32"/>
        </w:rPr>
        <w:t xml:space="preserve">条 </w:t>
      </w:r>
      <w:r>
        <w:rPr>
          <w:rFonts w:hint="eastAsia" w:ascii="仿宋_GB2312" w:hAnsi="仿宋_GB2312" w:eastAsia="仿宋_GB2312" w:cs="仿宋_GB2312"/>
          <w:color w:val="000000"/>
          <w:kern w:val="0"/>
          <w:sz w:val="32"/>
          <w:szCs w:val="32"/>
          <w:lang w:val="en-US" w:eastAsia="zh-CN" w:bidi="ar-SA"/>
        </w:rPr>
        <w:t>社会信用主管部门应当会同有关部门组织开展信用管理培训与职业技能鉴定，加强对信用服务从业人员、信用管理人员的培训和教育。</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 w:hAnsi="仿宋" w:eastAsia="仿宋" w:cs="仿宋"/>
          <w:color w:val="auto"/>
          <w:sz w:val="32"/>
          <w:szCs w:val="32"/>
        </w:rPr>
      </w:pPr>
      <w:r>
        <w:rPr>
          <w:rFonts w:hint="eastAsia" w:ascii="黑体" w:hAnsi="黑体" w:eastAsia="黑体" w:cs="黑体"/>
          <w:b w:val="0"/>
          <w:bCs/>
          <w:color w:val="auto"/>
          <w:sz w:val="32"/>
          <w:szCs w:val="32"/>
        </w:rPr>
        <w:t>第</w:t>
      </w:r>
      <w:r>
        <w:rPr>
          <w:rFonts w:hint="eastAsia" w:ascii="黑体" w:hAnsi="黑体" w:eastAsia="黑体" w:cs="黑体"/>
          <w:b w:val="0"/>
          <w:bCs/>
          <w:color w:val="auto"/>
          <w:sz w:val="32"/>
          <w:szCs w:val="32"/>
          <w:lang w:eastAsia="zh-CN"/>
        </w:rPr>
        <w:t>五十九</w:t>
      </w:r>
      <w:r>
        <w:rPr>
          <w:rFonts w:hint="eastAsia" w:ascii="黑体" w:hAnsi="黑体" w:eastAsia="黑体" w:cs="黑体"/>
          <w:b w:val="0"/>
          <w:bCs/>
          <w:color w:val="auto"/>
          <w:sz w:val="32"/>
          <w:szCs w:val="32"/>
        </w:rPr>
        <w:t>条</w:t>
      </w:r>
      <w:r>
        <w:rPr>
          <w:rFonts w:hint="eastAsia" w:ascii="仿宋" w:hAnsi="仿宋" w:eastAsia="仿宋" w:cs="仿宋"/>
          <w:b/>
          <w:color w:val="auto"/>
          <w:sz w:val="32"/>
          <w:szCs w:val="32"/>
        </w:rPr>
        <w:t xml:space="preserve"> </w:t>
      </w:r>
      <w:r>
        <w:rPr>
          <w:rFonts w:hint="eastAsia" w:ascii="仿宋_GB2312" w:hAnsi="仿宋_GB2312" w:eastAsia="仿宋_GB2312" w:cs="仿宋_GB2312"/>
          <w:color w:val="000000"/>
          <w:kern w:val="0"/>
          <w:sz w:val="32"/>
          <w:szCs w:val="32"/>
          <w:lang w:val="en-US" w:eastAsia="zh-CN" w:bidi="ar-SA"/>
        </w:rPr>
        <w:t>鼓励成立信用服务行业协会商会，加强行业自律管理，推动制定信用服务相关标准、技术规范和管理规范，编制、发布行业发展报告。</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SA"/>
        </w:rPr>
      </w:pPr>
      <w:r>
        <w:rPr>
          <w:rFonts w:hint="eastAsia" w:ascii="黑体" w:hAnsi="黑体" w:eastAsia="黑体" w:cs="黑体"/>
          <w:b w:val="0"/>
          <w:bCs/>
          <w:color w:val="auto"/>
          <w:sz w:val="32"/>
          <w:szCs w:val="32"/>
        </w:rPr>
        <w:t>第六十条</w:t>
      </w:r>
      <w:r>
        <w:rPr>
          <w:rFonts w:hint="eastAsia" w:ascii="仿宋" w:hAnsi="仿宋" w:eastAsia="仿宋" w:cs="仿宋"/>
          <w:b/>
          <w:color w:val="auto"/>
          <w:sz w:val="32"/>
          <w:szCs w:val="32"/>
        </w:rPr>
        <w:t xml:space="preserve"> </w:t>
      </w:r>
      <w:r>
        <w:rPr>
          <w:rFonts w:hint="eastAsia" w:ascii="仿宋_GB2312" w:hAnsi="仿宋_GB2312" w:eastAsia="仿宋_GB2312" w:cs="仿宋_GB2312"/>
          <w:color w:val="000000"/>
          <w:kern w:val="0"/>
          <w:sz w:val="32"/>
          <w:szCs w:val="32"/>
          <w:lang w:val="en-US" w:eastAsia="zh-CN" w:bidi="ar-SA"/>
        </w:rPr>
        <w:t>社会信用主管部门应当会同国家机关和法律、法规授权的具有管理公共事务职能的组织建立信用服务机构信用承诺和信用评价制度，对信用服务机构信用承诺履行情况进行年度检查、舆情监测。</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 w:hAnsi="仿宋" w:eastAsia="仿宋" w:cs="仿宋"/>
          <w:color w:val="auto"/>
          <w:sz w:val="32"/>
          <w:szCs w:val="32"/>
        </w:rPr>
      </w:pPr>
    </w:p>
    <w:p>
      <w:pPr>
        <w:pStyle w:val="7"/>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576" w:lineRule="exact"/>
        <w:jc w:val="center"/>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第七章 信用主体权益保护</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576" w:lineRule="exact"/>
        <w:ind w:firstLine="640" w:firstLineChars="200"/>
        <w:jc w:val="center"/>
        <w:textAlignment w:val="auto"/>
        <w:rPr>
          <w:rFonts w:hint="eastAsia" w:ascii="黑体" w:hAnsi="黑体" w:eastAsia="黑体" w:cs="黑体"/>
          <w:b w:val="0"/>
          <w:bCs/>
          <w:color w:val="auto"/>
          <w:sz w:val="32"/>
          <w:szCs w:val="32"/>
        </w:rPr>
      </w:pPr>
    </w:p>
    <w:p>
      <w:pPr>
        <w:pStyle w:val="7"/>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SA"/>
        </w:rPr>
      </w:pPr>
      <w:r>
        <w:rPr>
          <w:rFonts w:hint="eastAsia" w:ascii="黑体" w:hAnsi="黑体" w:eastAsia="黑体" w:cs="黑体"/>
          <w:b w:val="0"/>
          <w:bCs/>
          <w:color w:val="auto"/>
          <w:sz w:val="32"/>
          <w:szCs w:val="32"/>
        </w:rPr>
        <w:t>第六十</w:t>
      </w:r>
      <w:r>
        <w:rPr>
          <w:rFonts w:hint="eastAsia" w:ascii="黑体" w:hAnsi="黑体" w:eastAsia="黑体" w:cs="黑体"/>
          <w:b w:val="0"/>
          <w:bCs/>
          <w:color w:val="auto"/>
          <w:sz w:val="32"/>
          <w:szCs w:val="32"/>
          <w:lang w:eastAsia="zh-CN"/>
        </w:rPr>
        <w:t>一</w:t>
      </w:r>
      <w:r>
        <w:rPr>
          <w:rFonts w:hint="eastAsia" w:ascii="黑体" w:hAnsi="黑体" w:eastAsia="黑体" w:cs="黑体"/>
          <w:b w:val="0"/>
          <w:bCs/>
          <w:color w:val="auto"/>
          <w:sz w:val="32"/>
          <w:szCs w:val="32"/>
        </w:rPr>
        <w:t>条</w:t>
      </w:r>
      <w:r>
        <w:rPr>
          <w:rFonts w:hint="eastAsia" w:ascii="仿宋" w:hAnsi="仿宋" w:eastAsia="仿宋" w:cs="仿宋"/>
          <w:b/>
          <w:color w:val="auto"/>
          <w:sz w:val="32"/>
          <w:szCs w:val="32"/>
        </w:rPr>
        <w:t xml:space="preserve"> </w:t>
      </w:r>
      <w:r>
        <w:rPr>
          <w:rFonts w:hint="eastAsia" w:ascii="仿宋_GB2312" w:hAnsi="仿宋_GB2312" w:eastAsia="仿宋_GB2312" w:cs="仿宋_GB2312"/>
          <w:color w:val="000000"/>
          <w:kern w:val="0"/>
          <w:sz w:val="32"/>
          <w:szCs w:val="32"/>
          <w:lang w:val="en-US" w:eastAsia="zh-CN" w:bidi="ar-SA"/>
        </w:rPr>
        <w:t>社会信用主管部门、国家机关和法律、法规授权的具有管理公共事务职能的组织、公共信用信息工作机构以及信用服务机构、行业协会商会等，应当按照国家和省有关规定，全面落实信用主体权益保护、信用信息侵权责任追究、信用信息异议处理、信用修复、投诉举报等机制和制度，保护信用主体合法权益。</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黑体" w:hAnsi="黑体" w:eastAsia="黑体" w:cs="黑体"/>
          <w:b w:val="0"/>
          <w:bCs/>
          <w:color w:val="auto"/>
          <w:sz w:val="32"/>
          <w:szCs w:val="32"/>
        </w:rPr>
        <w:t>第六十</w:t>
      </w:r>
      <w:r>
        <w:rPr>
          <w:rFonts w:hint="eastAsia" w:ascii="黑体" w:hAnsi="黑体" w:eastAsia="黑体" w:cs="黑体"/>
          <w:b w:val="0"/>
          <w:bCs/>
          <w:color w:val="auto"/>
          <w:sz w:val="32"/>
          <w:szCs w:val="32"/>
          <w:lang w:eastAsia="zh-CN"/>
        </w:rPr>
        <w:t>二</w:t>
      </w:r>
      <w:r>
        <w:rPr>
          <w:rFonts w:hint="eastAsia" w:ascii="黑体" w:hAnsi="黑体" w:eastAsia="黑体" w:cs="黑体"/>
          <w:b w:val="0"/>
          <w:bCs/>
          <w:color w:val="auto"/>
          <w:sz w:val="32"/>
          <w:szCs w:val="32"/>
        </w:rPr>
        <w:t>条</w:t>
      </w:r>
      <w:r>
        <w:rPr>
          <w:rFonts w:hint="eastAsia" w:ascii="仿宋" w:hAnsi="仿宋" w:eastAsia="仿宋" w:cs="仿宋"/>
          <w:b/>
          <w:color w:val="auto"/>
          <w:sz w:val="32"/>
          <w:szCs w:val="32"/>
        </w:rPr>
        <w:t xml:space="preserve"> </w:t>
      </w:r>
      <w:r>
        <w:rPr>
          <w:rFonts w:hint="eastAsia" w:ascii="仿宋_GB2312" w:hAnsi="仿宋_GB2312" w:eastAsia="仿宋_GB2312" w:cs="仿宋_GB2312"/>
          <w:color w:val="000000"/>
          <w:kern w:val="0"/>
          <w:sz w:val="32"/>
          <w:szCs w:val="32"/>
          <w:lang w:val="en-US" w:eastAsia="zh-CN"/>
        </w:rPr>
        <w:t>公共信用信息工作机构、公共信用信息提供单位、市场信用信息采集单位及其工作人员处理信用信息，应当符合法律法规的规定以及与信用主体的约定，不得有下列行为：</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（一）非法买卖、窃取信用信息，以欺诈、利诱、胁迫等手段获取信用信息；</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（二）未经授权，或者一次性授权终身采集、使用自然人的信用信息；</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（三）虚构、篡改、违规删除信用信息；</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（四）非法提供、披露、使用信用信息；</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（五）泄露在业务开展过程中知悉的国家秘密、商业秘密和个人隐私；</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（六）未按照规定撤销、变更失信信息或者处理异议申请；</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（七）信用服务机构明知失信信息停止公示，不停止使用或者未及时在其对外提供服务的平台上撤出该失信信息；</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（八）在提供信用服务中虚假评价信用主体状况；</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（九）滥用职权、玩忽职守、徇私舞弊、索贿受贿；</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（十）违反法律法规规定的其他行为。</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黑体" w:hAnsi="黑体" w:eastAsia="黑体" w:cs="黑体"/>
          <w:b w:val="0"/>
          <w:bCs/>
          <w:color w:val="auto"/>
          <w:sz w:val="32"/>
          <w:szCs w:val="32"/>
        </w:rPr>
        <w:t>第六十</w:t>
      </w:r>
      <w:r>
        <w:rPr>
          <w:rFonts w:hint="eastAsia" w:ascii="黑体" w:hAnsi="黑体" w:eastAsia="黑体" w:cs="黑体"/>
          <w:b w:val="0"/>
          <w:bCs/>
          <w:color w:val="auto"/>
          <w:sz w:val="32"/>
          <w:szCs w:val="32"/>
          <w:lang w:eastAsia="zh-CN"/>
        </w:rPr>
        <w:t>三</w:t>
      </w:r>
      <w:r>
        <w:rPr>
          <w:rFonts w:hint="eastAsia" w:ascii="黑体" w:hAnsi="黑体" w:eastAsia="黑体" w:cs="黑体"/>
          <w:b w:val="0"/>
          <w:bCs/>
          <w:color w:val="auto"/>
          <w:sz w:val="32"/>
          <w:szCs w:val="32"/>
        </w:rPr>
        <w:t>条</w:t>
      </w:r>
      <w:r>
        <w:rPr>
          <w:rFonts w:hint="eastAsia" w:ascii="仿宋" w:hAnsi="仿宋" w:eastAsia="仿宋" w:cs="仿宋"/>
          <w:color w:val="auto"/>
          <w:sz w:val="32"/>
          <w:szCs w:val="32"/>
        </w:rPr>
        <w:t xml:space="preserve"> </w:t>
      </w:r>
      <w:r>
        <w:rPr>
          <w:rFonts w:hint="eastAsia" w:ascii="仿宋_GB2312" w:hAnsi="仿宋_GB2312" w:eastAsia="仿宋_GB2312" w:cs="仿宋_GB2312"/>
          <w:color w:val="000000"/>
          <w:kern w:val="0"/>
          <w:sz w:val="32"/>
          <w:szCs w:val="32"/>
          <w:lang w:val="en-US" w:eastAsia="zh-CN"/>
        </w:rPr>
        <w:t>依法或者依约定采集自然人信用信息时，不得采集宗教信仰、基因、指纹、血型、疾病和病史信息以及法律法规规定禁止采集的其他个人信息。</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未经本人书面同意不得采集自然人的收入、存款、有价证券、商业保险、不动产的信息和纳税数额信息，但国家机关和法律、法规授权的具有管理公共事务职能的组织依法可以采集的除外。</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国家机关和法律、法规授权的具有管理公共事务职能的组织依法采集并按照国家规定归集到公共信用信息系统的自然人的不动产、纳税数额等信息，只能提供给信用主体本人及获得其授权的主体使用。</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黑体" w:hAnsi="黑体" w:eastAsia="黑体" w:cs="黑体"/>
          <w:b w:val="0"/>
          <w:bCs/>
          <w:color w:val="auto"/>
          <w:sz w:val="32"/>
          <w:szCs w:val="32"/>
        </w:rPr>
        <w:t>第六十</w:t>
      </w:r>
      <w:r>
        <w:rPr>
          <w:rFonts w:hint="eastAsia" w:ascii="黑体" w:hAnsi="黑体" w:eastAsia="黑体" w:cs="黑体"/>
          <w:b w:val="0"/>
          <w:bCs/>
          <w:color w:val="auto"/>
          <w:sz w:val="32"/>
          <w:szCs w:val="32"/>
          <w:lang w:eastAsia="zh-CN"/>
        </w:rPr>
        <w:t>四</w:t>
      </w:r>
      <w:r>
        <w:rPr>
          <w:rFonts w:hint="eastAsia" w:ascii="黑体" w:hAnsi="黑体" w:eastAsia="黑体" w:cs="黑体"/>
          <w:b w:val="0"/>
          <w:bCs/>
          <w:color w:val="auto"/>
          <w:sz w:val="32"/>
          <w:szCs w:val="32"/>
        </w:rPr>
        <w:t>条</w:t>
      </w:r>
      <w:r>
        <w:rPr>
          <w:rFonts w:hint="eastAsia" w:ascii="仿宋" w:hAnsi="仿宋" w:eastAsia="仿宋" w:cs="仿宋"/>
          <w:color w:val="auto"/>
          <w:sz w:val="32"/>
          <w:szCs w:val="32"/>
        </w:rPr>
        <w:t xml:space="preserve"> </w:t>
      </w:r>
      <w:r>
        <w:rPr>
          <w:rFonts w:hint="eastAsia" w:ascii="仿宋_GB2312" w:hAnsi="仿宋_GB2312" w:eastAsia="仿宋_GB2312" w:cs="仿宋_GB2312"/>
          <w:color w:val="000000"/>
          <w:kern w:val="0"/>
          <w:sz w:val="32"/>
          <w:szCs w:val="32"/>
          <w:lang w:val="en-US" w:eastAsia="zh-CN"/>
        </w:rPr>
        <w:t>信用主体有权知晓其信用信息的采集、归集、共享及其相关使用、评价等情况，有权知晓自身信用报告载明的信息来源和变动理由。</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社会信用主管部门、国家机关和法律、法规授权的具有管理公共事务职能的组织、公共信用信息提供单位、公共信用信息工作机构、市场信用信息采集单位，应当采取提供查询服务等措施，保障信用主体的知情权。</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黑体" w:hAnsi="黑体" w:eastAsia="黑体" w:cs="黑体"/>
          <w:b w:val="0"/>
          <w:bCs/>
          <w:color w:val="auto"/>
          <w:kern w:val="0"/>
          <w:sz w:val="32"/>
          <w:szCs w:val="32"/>
          <w:lang w:val="en-US" w:eastAsia="zh-CN" w:bidi="ar-SA"/>
        </w:rPr>
        <w:t>第六十五条</w:t>
      </w:r>
      <w:r>
        <w:rPr>
          <w:rFonts w:hint="eastAsia" w:ascii="仿宋" w:hAnsi="仿宋" w:eastAsia="仿宋" w:cs="仿宋"/>
          <w:color w:val="auto"/>
          <w:sz w:val="32"/>
          <w:szCs w:val="32"/>
        </w:rPr>
        <w:t xml:space="preserve"> </w:t>
      </w:r>
      <w:r>
        <w:rPr>
          <w:rFonts w:hint="eastAsia" w:ascii="仿宋_GB2312" w:hAnsi="仿宋_GB2312" w:eastAsia="仿宋_GB2312" w:cs="仿宋_GB2312"/>
          <w:color w:val="000000"/>
          <w:kern w:val="0"/>
          <w:sz w:val="32"/>
          <w:szCs w:val="32"/>
          <w:lang w:val="en-US" w:eastAsia="zh-CN"/>
        </w:rPr>
        <w:t>信用主体认为信用综合服务平台记载或者披露的社会信用信息存在下列情形之一的，可以向信用综合服务平台提交异议申请：</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（一）社会信用信息记载与事实不符、存在错误或者遗漏的；</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（二）侵犯其商业秘密、个人隐私的；</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（三）失信信息超过公示期限仍在公示的；</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（四）不符合失信主体认定标准而被列入或者未被移出失信名单的；</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（五）法律法规和国家规定的其他情形。</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黑体" w:hAnsi="黑体" w:eastAsia="黑体" w:cs="黑体"/>
          <w:b w:val="0"/>
          <w:bCs/>
          <w:color w:val="auto"/>
          <w:kern w:val="0"/>
          <w:sz w:val="32"/>
          <w:szCs w:val="32"/>
          <w:lang w:val="en-US" w:eastAsia="zh-CN" w:bidi="ar-SA"/>
        </w:rPr>
        <w:t xml:space="preserve">第六十六条 </w:t>
      </w:r>
      <w:r>
        <w:rPr>
          <w:rFonts w:hint="eastAsia" w:ascii="仿宋_GB2312" w:hAnsi="仿宋_GB2312" w:eastAsia="仿宋_GB2312" w:cs="仿宋_GB2312"/>
          <w:color w:val="000000"/>
          <w:kern w:val="0"/>
          <w:sz w:val="32"/>
          <w:szCs w:val="32"/>
          <w:lang w:val="en-US" w:eastAsia="zh-CN"/>
        </w:rPr>
        <w:t>信用综合服务平台应当自收到异议申请之日起三个工作日内进行核查并异议标记，按照以下情况处理：</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（一）属于信用综合服务平台更正范围的，应当自收到异议申请之日起二个工作日内作出异议处理决定，并将处理结果告知申请人；</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二）属于信用信息提供单位更正范围的，应当自收到该异议申请之日起二个工作日内将异议申请转交信用信息提供单位核查处理。信用信息提供单位应当自收到转来的异议申请之日起二个工作日内完成核查，作出异议处理决定，并书面告知信用综合服务平台；信用综合服务平台根据异议处理决定作出处理，取消异议标记，同时将处理结果告知申请人。</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 w:hAnsi="仿宋" w:eastAsia="仿宋" w:cs="仿宋"/>
          <w:color w:val="auto"/>
          <w:kern w:val="0"/>
          <w:sz w:val="32"/>
          <w:szCs w:val="32"/>
        </w:rPr>
      </w:pPr>
      <w:r>
        <w:rPr>
          <w:rFonts w:hint="eastAsia" w:ascii="仿宋_GB2312" w:hAnsi="仿宋_GB2312" w:eastAsia="仿宋_GB2312" w:cs="仿宋_GB2312"/>
          <w:color w:val="000000"/>
          <w:kern w:val="0"/>
          <w:sz w:val="32"/>
          <w:szCs w:val="32"/>
          <w:lang w:val="en-US" w:eastAsia="zh-CN"/>
        </w:rPr>
        <w:t>异议申请处理期间，对存在异议的社会信用信息或者依据存在异议的社会信用信息作出的信用报告，应当予以标注。</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黑体" w:hAnsi="黑体" w:eastAsia="黑体" w:cs="黑体"/>
          <w:b w:val="0"/>
          <w:bCs/>
          <w:color w:val="auto"/>
          <w:kern w:val="0"/>
          <w:sz w:val="32"/>
          <w:szCs w:val="32"/>
          <w:lang w:val="en-US" w:eastAsia="zh-CN" w:bidi="ar-SA"/>
        </w:rPr>
        <w:t xml:space="preserve">第六十七条 </w:t>
      </w:r>
      <w:r>
        <w:rPr>
          <w:rFonts w:hint="eastAsia" w:ascii="仿宋_GB2312" w:hAnsi="仿宋_GB2312" w:eastAsia="仿宋_GB2312" w:cs="仿宋_GB2312"/>
          <w:color w:val="000000"/>
          <w:kern w:val="0"/>
          <w:sz w:val="32"/>
          <w:szCs w:val="32"/>
          <w:lang w:val="en-US" w:eastAsia="zh-CN"/>
        </w:rPr>
        <w:t>信用主体认为各级人民政府及其有关部门对外发布信息的平台记载或者披露的公共信用信息存在本条例第六十五条所列情形之一的，可以向各级人民政府及其有关部门提交书面异议申请。各级人民政府及其有关部门应当自收到异议申请之日起二个工作日内作出异议处理决定，并将处理结果告知申请人。</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已共享到信用综合平台的公共信用信息，按照前款规定进行更正后，各级人民政府，有关部门应当及时通知信用综合服务平台进行处理。</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 w:hAnsi="仿宋" w:eastAsia="仿宋" w:cs="仿宋"/>
          <w:color w:val="auto"/>
          <w:sz w:val="32"/>
          <w:szCs w:val="32"/>
        </w:rPr>
      </w:pPr>
      <w:r>
        <w:rPr>
          <w:rFonts w:hint="eastAsia" w:ascii="黑体" w:hAnsi="黑体" w:eastAsia="黑体" w:cs="黑体"/>
          <w:b w:val="0"/>
          <w:bCs/>
          <w:color w:val="auto"/>
          <w:sz w:val="32"/>
          <w:szCs w:val="32"/>
        </w:rPr>
        <w:t>第</w:t>
      </w:r>
      <w:r>
        <w:rPr>
          <w:rFonts w:hint="eastAsia" w:ascii="黑体" w:hAnsi="黑体" w:eastAsia="黑体" w:cs="黑体"/>
          <w:b w:val="0"/>
          <w:bCs/>
          <w:color w:val="auto"/>
          <w:sz w:val="32"/>
          <w:szCs w:val="32"/>
          <w:lang w:eastAsia="zh-CN"/>
        </w:rPr>
        <w:t>六十八</w:t>
      </w:r>
      <w:r>
        <w:rPr>
          <w:rFonts w:hint="eastAsia" w:ascii="黑体" w:hAnsi="黑体" w:eastAsia="黑体" w:cs="黑体"/>
          <w:b w:val="0"/>
          <w:bCs/>
          <w:color w:val="auto"/>
          <w:sz w:val="32"/>
          <w:szCs w:val="32"/>
        </w:rPr>
        <w:t>条</w:t>
      </w:r>
      <w:r>
        <w:rPr>
          <w:rFonts w:hint="eastAsia" w:ascii="仿宋" w:hAnsi="仿宋" w:eastAsia="仿宋" w:cs="仿宋"/>
          <w:color w:val="auto"/>
          <w:sz w:val="32"/>
          <w:szCs w:val="32"/>
        </w:rPr>
        <w:t xml:space="preserve"> </w:t>
      </w:r>
      <w:r>
        <w:rPr>
          <w:rFonts w:hint="eastAsia" w:ascii="仿宋_GB2312" w:hAnsi="仿宋_GB2312" w:eastAsia="仿宋_GB2312" w:cs="仿宋_GB2312"/>
          <w:color w:val="000000"/>
          <w:kern w:val="0"/>
          <w:sz w:val="32"/>
          <w:szCs w:val="32"/>
          <w:lang w:val="en-US" w:eastAsia="zh-CN" w:bidi="ar-SA"/>
        </w:rPr>
        <w:t>影响信用主体信用状况的具有法律效力的文书被依法撤销、变更或者确认无效的，原信用信息提供单位应当自撤销、变更或者确认无效的法律文书生效之日起五个工作日内告知公共信用信息工作机构，公共信用信息工作机构应当在二个工作日内撤销或者变更该信用信息。</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黑体" w:hAnsi="黑体" w:eastAsia="黑体" w:cs="黑体"/>
          <w:b w:val="0"/>
          <w:bCs/>
          <w:color w:val="auto"/>
          <w:sz w:val="32"/>
          <w:szCs w:val="32"/>
        </w:rPr>
        <w:t>第</w:t>
      </w:r>
      <w:r>
        <w:rPr>
          <w:rFonts w:hint="eastAsia" w:ascii="黑体" w:hAnsi="黑体" w:eastAsia="黑体" w:cs="黑体"/>
          <w:b w:val="0"/>
          <w:bCs/>
          <w:color w:val="auto"/>
          <w:sz w:val="32"/>
          <w:szCs w:val="32"/>
          <w:lang w:eastAsia="zh-CN"/>
        </w:rPr>
        <w:t>六十九</w:t>
      </w:r>
      <w:r>
        <w:rPr>
          <w:rFonts w:hint="eastAsia" w:ascii="黑体" w:hAnsi="黑体" w:eastAsia="黑体" w:cs="黑体"/>
          <w:b w:val="0"/>
          <w:bCs/>
          <w:color w:val="auto"/>
          <w:sz w:val="32"/>
          <w:szCs w:val="32"/>
        </w:rPr>
        <w:t>条</w:t>
      </w:r>
      <w:r>
        <w:rPr>
          <w:rFonts w:hint="eastAsia" w:ascii="仿宋" w:hAnsi="仿宋" w:eastAsia="仿宋" w:cs="仿宋"/>
          <w:color w:val="auto"/>
          <w:sz w:val="32"/>
          <w:szCs w:val="32"/>
        </w:rPr>
        <w:t xml:space="preserve"> </w:t>
      </w:r>
      <w:r>
        <w:rPr>
          <w:rFonts w:hint="eastAsia" w:ascii="仿宋_GB2312" w:hAnsi="仿宋_GB2312" w:eastAsia="仿宋_GB2312" w:cs="仿宋_GB2312"/>
          <w:color w:val="000000"/>
          <w:kern w:val="0"/>
          <w:sz w:val="32"/>
          <w:szCs w:val="32"/>
          <w:lang w:val="en-US" w:eastAsia="zh-CN"/>
        </w:rPr>
        <w:t>信用主体主动履行义务，纠正失信行为，消除不利影响的，可以按照规定提出信用修复申请。</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符合信用修复规定的，失信行为认定单位应当作出信用修复决定。信用修复后，失信信息停止公示、共享，或者按照规定进行标注、屏蔽。</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社会信用主管部门应当依据国家和省信用修复有关规定，会同有关国家机关开展信用修复活动。</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SA"/>
        </w:rPr>
      </w:pPr>
      <w:r>
        <w:rPr>
          <w:rFonts w:hint="eastAsia" w:ascii="黑体" w:hAnsi="黑体" w:eastAsia="黑体" w:cs="黑体"/>
          <w:b w:val="0"/>
          <w:bCs/>
          <w:color w:val="auto"/>
          <w:sz w:val="32"/>
          <w:szCs w:val="32"/>
        </w:rPr>
        <w:t>第七十条</w:t>
      </w:r>
      <w:r>
        <w:rPr>
          <w:rFonts w:hint="eastAsia" w:ascii="仿宋" w:hAnsi="仿宋" w:eastAsia="仿宋" w:cs="仿宋"/>
          <w:color w:val="auto"/>
          <w:sz w:val="32"/>
          <w:szCs w:val="32"/>
        </w:rPr>
        <w:t xml:space="preserve"> </w:t>
      </w:r>
      <w:r>
        <w:rPr>
          <w:rFonts w:hint="eastAsia" w:ascii="仿宋_GB2312" w:hAnsi="仿宋_GB2312" w:eastAsia="仿宋_GB2312" w:cs="仿宋_GB2312"/>
          <w:color w:val="000000"/>
          <w:kern w:val="0"/>
          <w:sz w:val="32"/>
          <w:szCs w:val="32"/>
          <w:lang w:val="en-US" w:eastAsia="zh-CN" w:bidi="ar-SA"/>
        </w:rPr>
        <w:t>失信信息因公示期限届满、信用修复等原因停止公示的，采集、使用该信用信息的信用服务机构等单位应当停止使用，并及时在其对外提供服务的平台上撤除该失信信息。</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 w:hAnsi="仿宋" w:eastAsia="仿宋" w:cs="仿宋"/>
          <w:color w:val="auto"/>
          <w:sz w:val="32"/>
          <w:szCs w:val="32"/>
        </w:rPr>
      </w:pPr>
    </w:p>
    <w:p>
      <w:pPr>
        <w:pStyle w:val="7"/>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576" w:lineRule="exact"/>
        <w:jc w:val="center"/>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第八章 监督管理</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黑体" w:hAnsi="黑体" w:eastAsia="黑体" w:cs="黑体"/>
          <w:b w:val="0"/>
          <w:bCs/>
          <w:color w:val="auto"/>
          <w:sz w:val="32"/>
          <w:szCs w:val="32"/>
        </w:rPr>
      </w:pPr>
    </w:p>
    <w:p>
      <w:pPr>
        <w:pStyle w:val="7"/>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 w:hAnsi="仿宋" w:eastAsia="仿宋" w:cs="仿宋"/>
          <w:color w:val="auto"/>
          <w:sz w:val="32"/>
          <w:szCs w:val="32"/>
        </w:rPr>
      </w:pPr>
      <w:r>
        <w:rPr>
          <w:rFonts w:hint="eastAsia" w:ascii="黑体" w:hAnsi="黑体" w:eastAsia="黑体" w:cs="黑体"/>
          <w:b w:val="0"/>
          <w:bCs/>
          <w:color w:val="auto"/>
          <w:sz w:val="32"/>
          <w:szCs w:val="32"/>
        </w:rPr>
        <w:t>第七十</w:t>
      </w:r>
      <w:r>
        <w:rPr>
          <w:rFonts w:hint="eastAsia" w:ascii="黑体" w:hAnsi="黑体" w:eastAsia="黑体" w:cs="黑体"/>
          <w:b w:val="0"/>
          <w:bCs/>
          <w:color w:val="auto"/>
          <w:sz w:val="32"/>
          <w:szCs w:val="32"/>
          <w:lang w:eastAsia="zh-CN"/>
        </w:rPr>
        <w:t>一</w:t>
      </w:r>
      <w:r>
        <w:rPr>
          <w:rFonts w:hint="eastAsia" w:ascii="黑体" w:hAnsi="黑体" w:eastAsia="黑体" w:cs="黑体"/>
          <w:b w:val="0"/>
          <w:bCs/>
          <w:color w:val="auto"/>
          <w:sz w:val="32"/>
          <w:szCs w:val="32"/>
        </w:rPr>
        <w:t xml:space="preserve">条 </w:t>
      </w:r>
      <w:r>
        <w:rPr>
          <w:rFonts w:hint="eastAsia" w:ascii="仿宋_GB2312" w:hAnsi="仿宋_GB2312" w:eastAsia="仿宋_GB2312" w:cs="仿宋_GB2312"/>
          <w:color w:val="000000"/>
          <w:kern w:val="0"/>
          <w:sz w:val="32"/>
          <w:szCs w:val="32"/>
          <w:lang w:val="en-US" w:eastAsia="zh-CN" w:bidi="ar-SA"/>
        </w:rPr>
        <w:t>违反本办法规定的行为，法律法规已经规定的，适用其规定。</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黑体" w:hAnsi="黑体" w:eastAsia="黑体" w:cs="黑体"/>
          <w:b w:val="0"/>
          <w:bCs/>
          <w:color w:val="auto"/>
          <w:sz w:val="32"/>
          <w:szCs w:val="32"/>
        </w:rPr>
        <w:t>第七十</w:t>
      </w:r>
      <w:r>
        <w:rPr>
          <w:rFonts w:hint="eastAsia" w:ascii="黑体" w:hAnsi="黑体" w:eastAsia="黑体" w:cs="黑体"/>
          <w:b w:val="0"/>
          <w:bCs/>
          <w:color w:val="auto"/>
          <w:sz w:val="32"/>
          <w:szCs w:val="32"/>
          <w:lang w:eastAsia="zh-CN"/>
        </w:rPr>
        <w:t>二</w:t>
      </w:r>
      <w:r>
        <w:rPr>
          <w:rFonts w:hint="eastAsia" w:ascii="黑体" w:hAnsi="黑体" w:eastAsia="黑体" w:cs="黑体"/>
          <w:b w:val="0"/>
          <w:bCs/>
          <w:color w:val="auto"/>
          <w:sz w:val="32"/>
          <w:szCs w:val="32"/>
        </w:rPr>
        <w:t>条</w:t>
      </w:r>
      <w:r>
        <w:rPr>
          <w:rFonts w:hint="eastAsia" w:ascii="仿宋" w:hAnsi="仿宋" w:eastAsia="仿宋" w:cs="仿宋"/>
          <w:color w:val="auto"/>
          <w:sz w:val="32"/>
          <w:szCs w:val="32"/>
        </w:rPr>
        <w:t xml:space="preserve"> </w:t>
      </w:r>
      <w:r>
        <w:rPr>
          <w:rFonts w:hint="eastAsia" w:ascii="仿宋_GB2312" w:hAnsi="仿宋_GB2312" w:eastAsia="仿宋_GB2312" w:cs="仿宋_GB2312"/>
          <w:color w:val="000000"/>
          <w:kern w:val="0"/>
          <w:sz w:val="32"/>
          <w:szCs w:val="32"/>
          <w:lang w:val="en-US" w:eastAsia="zh-CN"/>
        </w:rPr>
        <w:t>违反本办法第六十二条规定的公共信用信息工作机构、公共信用信息提供单位，由社会信用主管部门责令改正；对负有责任的领导人员和直接责任人员，由社会信用主管部门向有管理权限的部门提出处理建议；构成犯罪的，依法追究刑事责任。</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国家机关和法律、法规授权的具有管理公共事务职能的组织、人民团体超出履行职责的范围使用或者擅自公开通过政务共享、依职权查询获得的公共信用信息的，依照前款规定处理。</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SA"/>
        </w:rPr>
      </w:pPr>
      <w:r>
        <w:rPr>
          <w:rFonts w:hint="eastAsia" w:ascii="黑体" w:hAnsi="黑体" w:eastAsia="黑体" w:cs="黑体"/>
          <w:b w:val="0"/>
          <w:bCs/>
          <w:color w:val="auto"/>
          <w:sz w:val="32"/>
          <w:szCs w:val="32"/>
        </w:rPr>
        <w:t>第七十</w:t>
      </w:r>
      <w:r>
        <w:rPr>
          <w:rFonts w:hint="eastAsia" w:ascii="黑体" w:hAnsi="黑体" w:eastAsia="黑体" w:cs="黑体"/>
          <w:b w:val="0"/>
          <w:bCs/>
          <w:color w:val="auto"/>
          <w:sz w:val="32"/>
          <w:szCs w:val="32"/>
          <w:lang w:eastAsia="zh-CN"/>
        </w:rPr>
        <w:t>三</w:t>
      </w:r>
      <w:r>
        <w:rPr>
          <w:rFonts w:hint="eastAsia" w:ascii="黑体" w:hAnsi="黑体" w:eastAsia="黑体" w:cs="黑体"/>
          <w:b w:val="0"/>
          <w:bCs/>
          <w:color w:val="auto"/>
          <w:sz w:val="32"/>
          <w:szCs w:val="32"/>
        </w:rPr>
        <w:t>条</w:t>
      </w:r>
      <w:r>
        <w:rPr>
          <w:rFonts w:hint="eastAsia" w:ascii="仿宋" w:hAnsi="仿宋" w:eastAsia="仿宋" w:cs="仿宋"/>
          <w:color w:val="auto"/>
          <w:sz w:val="32"/>
          <w:szCs w:val="32"/>
        </w:rPr>
        <w:t xml:space="preserve"> </w:t>
      </w:r>
      <w:r>
        <w:rPr>
          <w:rFonts w:hint="eastAsia" w:ascii="仿宋_GB2312" w:hAnsi="仿宋_GB2312" w:eastAsia="仿宋_GB2312" w:cs="仿宋_GB2312"/>
          <w:color w:val="000000"/>
          <w:kern w:val="0"/>
          <w:sz w:val="32"/>
          <w:szCs w:val="32"/>
          <w:lang w:val="en-US" w:eastAsia="zh-CN" w:bidi="ar-SA"/>
        </w:rPr>
        <w:t>违反本办法第六十二条规定的市场信用信息采集单位，由社会信用主管部门按照管理权限责令限期改正；情节严重的，上报省级社会信用主管部门按照相关规定进行处理；造成信用主体合法权益损害的，依法承担民事责任；构成犯罪的，依法追究刑事责任。</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SA"/>
        </w:rPr>
      </w:pPr>
      <w:r>
        <w:rPr>
          <w:rFonts w:hint="eastAsia" w:ascii="黑体" w:hAnsi="黑体" w:eastAsia="黑体" w:cs="黑体"/>
          <w:b w:val="0"/>
          <w:bCs/>
          <w:color w:val="auto"/>
          <w:sz w:val="32"/>
          <w:szCs w:val="32"/>
        </w:rPr>
        <w:t>第七十</w:t>
      </w:r>
      <w:r>
        <w:rPr>
          <w:rFonts w:hint="eastAsia" w:ascii="黑体" w:hAnsi="黑体" w:eastAsia="黑体" w:cs="黑体"/>
          <w:b w:val="0"/>
          <w:bCs/>
          <w:color w:val="auto"/>
          <w:sz w:val="32"/>
          <w:szCs w:val="32"/>
          <w:lang w:eastAsia="zh-CN"/>
        </w:rPr>
        <w:t>四</w:t>
      </w:r>
      <w:r>
        <w:rPr>
          <w:rFonts w:hint="eastAsia" w:ascii="黑体" w:hAnsi="黑体" w:eastAsia="黑体" w:cs="黑体"/>
          <w:b w:val="0"/>
          <w:bCs/>
          <w:color w:val="auto"/>
          <w:sz w:val="32"/>
          <w:szCs w:val="32"/>
        </w:rPr>
        <w:t>条</w:t>
      </w:r>
      <w:r>
        <w:rPr>
          <w:rFonts w:hint="eastAsia" w:ascii="仿宋" w:hAnsi="仿宋" w:eastAsia="仿宋" w:cs="仿宋"/>
          <w:color w:val="auto"/>
          <w:sz w:val="32"/>
          <w:szCs w:val="32"/>
        </w:rPr>
        <w:t xml:space="preserve"> </w:t>
      </w:r>
      <w:r>
        <w:rPr>
          <w:rFonts w:hint="eastAsia" w:ascii="仿宋_GB2312" w:hAnsi="仿宋_GB2312" w:eastAsia="仿宋_GB2312" w:cs="仿宋_GB2312"/>
          <w:color w:val="000000"/>
          <w:kern w:val="0"/>
          <w:sz w:val="32"/>
          <w:szCs w:val="32"/>
          <w:lang w:val="en-US" w:eastAsia="zh-CN" w:bidi="ar-SA"/>
        </w:rPr>
        <w:t>信用主体认为公共信用信息管理活动中的具体行政行为侵犯其合法权益的，可以依法申请行政复议或者提起行政诉讼。</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 w:hAnsi="仿宋" w:eastAsia="仿宋" w:cs="仿宋"/>
          <w:color w:val="auto"/>
          <w:sz w:val="32"/>
          <w:szCs w:val="32"/>
        </w:rPr>
      </w:pPr>
    </w:p>
    <w:p>
      <w:pPr>
        <w:pStyle w:val="7"/>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576" w:lineRule="exact"/>
        <w:jc w:val="center"/>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第九章 附则</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576" w:lineRule="exact"/>
        <w:ind w:firstLine="640" w:firstLineChars="200"/>
        <w:jc w:val="center"/>
        <w:textAlignment w:val="auto"/>
        <w:rPr>
          <w:rFonts w:hint="eastAsia" w:ascii="黑体" w:hAnsi="黑体" w:eastAsia="黑体" w:cs="黑体"/>
          <w:b w:val="0"/>
          <w:bCs/>
          <w:color w:val="auto"/>
          <w:sz w:val="32"/>
          <w:szCs w:val="32"/>
        </w:rPr>
      </w:pP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黑体" w:hAnsi="黑体" w:eastAsia="黑体" w:cs="黑体"/>
          <w:b w:val="0"/>
          <w:bCs/>
          <w:color w:val="auto"/>
          <w:sz w:val="32"/>
          <w:szCs w:val="32"/>
        </w:rPr>
        <w:t>第七十</w:t>
      </w:r>
      <w:r>
        <w:rPr>
          <w:rFonts w:hint="eastAsia" w:ascii="黑体" w:hAnsi="黑体" w:eastAsia="黑体" w:cs="黑体"/>
          <w:b w:val="0"/>
          <w:bCs/>
          <w:color w:val="auto"/>
          <w:sz w:val="32"/>
          <w:szCs w:val="32"/>
          <w:lang w:eastAsia="zh-CN"/>
        </w:rPr>
        <w:t>五</w:t>
      </w:r>
      <w:r>
        <w:rPr>
          <w:rFonts w:hint="eastAsia" w:ascii="黑体" w:hAnsi="黑体" w:eastAsia="黑体" w:cs="黑体"/>
          <w:b w:val="0"/>
          <w:bCs/>
          <w:color w:val="auto"/>
          <w:sz w:val="32"/>
          <w:szCs w:val="32"/>
        </w:rPr>
        <w:t xml:space="preserve">条 </w:t>
      </w:r>
      <w:r>
        <w:rPr>
          <w:rFonts w:hint="eastAsia" w:ascii="仿宋_GB2312" w:hAnsi="仿宋_GB2312" w:eastAsia="仿宋_GB2312" w:cs="仿宋_GB2312"/>
          <w:color w:val="000000"/>
          <w:kern w:val="0"/>
          <w:sz w:val="32"/>
          <w:szCs w:val="32"/>
          <w:lang w:val="en-US" w:eastAsia="zh-CN"/>
        </w:rPr>
        <w:t>本办法名词用语含义如下：</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社会信用，是指具有完全民事行为能力的自然人、法人和非法人组织等信用主体，在社会和经济活动中遵守法定义务或者履行约定义务的状态。</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社会信用体系，由信用信息管理、信用监管机制建设、信用服务业管理与发展、信用主体权益保护和社会信用环境建设组成。</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信用信息，是指可用于识别、分析、判断信用主体信用状况的客观数据和资料，包括公共信用信息和市场信用信息。</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公共信用信息，是指国家机关和法律、法规授权的具有管理公共事务职能的组织、人民团体等公共信用信息提供单位，在依法履行职责和提供公共服务过程中产生、获取的信用信息，包括基础信息、失信信息和其他信息。</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市场信用信息，是指信用服务机构、行业协会商会和其他对交易服务对象实施信用管理的企业事业单位等市场信用信息采集单位，在生产经营或者行业自律管理活动中产生、获取的信用信息。</w:t>
      </w:r>
    </w:p>
    <w:p>
      <w:pPr>
        <w:keepNext w:val="0"/>
        <w:keepLines w:val="0"/>
        <w:pageBreakBefore w:val="0"/>
        <w:widowControl w:val="0"/>
        <w:shd w:val="clear" w:color="auto" w:fill="auto"/>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信用服务机构，是指依法设立，从事征信、信用评级评价、信用咨询、信用调查、信用风险管理等经营活动，向社会提供信用产品和信用服务的机构。</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SA"/>
        </w:rPr>
      </w:pPr>
      <w:r>
        <w:rPr>
          <w:rFonts w:hint="eastAsia" w:ascii="黑体" w:hAnsi="黑体" w:eastAsia="黑体" w:cs="黑体"/>
          <w:b w:val="0"/>
          <w:bCs/>
          <w:color w:val="auto"/>
          <w:sz w:val="32"/>
          <w:szCs w:val="32"/>
        </w:rPr>
        <w:t>第七十</w:t>
      </w:r>
      <w:r>
        <w:rPr>
          <w:rFonts w:hint="eastAsia" w:ascii="黑体" w:hAnsi="黑体" w:eastAsia="黑体" w:cs="黑体"/>
          <w:b w:val="0"/>
          <w:bCs/>
          <w:color w:val="auto"/>
          <w:sz w:val="32"/>
          <w:szCs w:val="32"/>
          <w:lang w:eastAsia="zh-CN"/>
        </w:rPr>
        <w:t>六</w:t>
      </w:r>
      <w:r>
        <w:rPr>
          <w:rFonts w:hint="eastAsia" w:ascii="黑体" w:hAnsi="黑体" w:eastAsia="黑体" w:cs="黑体"/>
          <w:b w:val="0"/>
          <w:bCs/>
          <w:color w:val="auto"/>
          <w:sz w:val="32"/>
          <w:szCs w:val="32"/>
        </w:rPr>
        <w:t>条</w:t>
      </w:r>
      <w:r>
        <w:rPr>
          <w:rFonts w:hint="eastAsia" w:ascii="仿宋" w:hAnsi="仿宋" w:eastAsia="仿宋" w:cs="仿宋"/>
          <w:color w:val="auto"/>
          <w:sz w:val="32"/>
          <w:szCs w:val="32"/>
        </w:rPr>
        <w:t xml:space="preserve"> </w:t>
      </w:r>
      <w:r>
        <w:rPr>
          <w:rFonts w:hint="eastAsia" w:ascii="仿宋_GB2312" w:hAnsi="仿宋_GB2312" w:eastAsia="仿宋_GB2312" w:cs="仿宋_GB2312"/>
          <w:color w:val="000000"/>
          <w:kern w:val="0"/>
          <w:sz w:val="32"/>
          <w:szCs w:val="32"/>
          <w:lang w:val="en-US" w:eastAsia="zh-CN" w:bidi="ar-SA"/>
        </w:rPr>
        <w:t>本办法由通化市政务服务和数字化建设管理局负责解释。</w:t>
      </w:r>
    </w:p>
    <w:p>
      <w:pPr>
        <w:pStyle w:val="7"/>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576" w:lineRule="exact"/>
        <w:ind w:firstLine="640" w:firstLineChars="200"/>
        <w:jc w:val="both"/>
        <w:textAlignment w:val="auto"/>
        <w:rPr>
          <w:rFonts w:hint="eastAsia"/>
          <w:color w:val="auto"/>
          <w:sz w:val="32"/>
          <w:szCs w:val="32"/>
        </w:rPr>
      </w:pPr>
      <w:r>
        <w:rPr>
          <w:rFonts w:hint="eastAsia" w:ascii="黑体" w:hAnsi="黑体" w:eastAsia="黑体" w:cs="黑体"/>
          <w:b w:val="0"/>
          <w:bCs/>
          <w:color w:val="auto"/>
          <w:sz w:val="32"/>
          <w:szCs w:val="32"/>
        </w:rPr>
        <w:t>第</w:t>
      </w:r>
      <w:r>
        <w:rPr>
          <w:rFonts w:hint="eastAsia" w:ascii="黑体" w:hAnsi="黑体" w:eastAsia="黑体" w:cs="黑体"/>
          <w:b w:val="0"/>
          <w:bCs/>
          <w:color w:val="auto"/>
          <w:sz w:val="32"/>
          <w:szCs w:val="32"/>
          <w:lang w:eastAsia="zh-CN"/>
        </w:rPr>
        <w:t>七十七</w:t>
      </w:r>
      <w:r>
        <w:rPr>
          <w:rFonts w:hint="eastAsia" w:ascii="黑体" w:hAnsi="黑体" w:eastAsia="黑体" w:cs="黑体"/>
          <w:b w:val="0"/>
          <w:bCs/>
          <w:color w:val="auto"/>
          <w:sz w:val="32"/>
          <w:szCs w:val="32"/>
        </w:rPr>
        <w:t>条</w:t>
      </w:r>
      <w:r>
        <w:rPr>
          <w:rFonts w:hint="eastAsia" w:ascii="仿宋" w:hAnsi="仿宋" w:eastAsia="仿宋" w:cs="仿宋"/>
          <w:color w:val="auto"/>
          <w:sz w:val="32"/>
          <w:szCs w:val="32"/>
        </w:rPr>
        <w:t xml:space="preserve"> </w:t>
      </w:r>
      <w:r>
        <w:rPr>
          <w:rFonts w:hint="eastAsia" w:ascii="仿宋_GB2312" w:hAnsi="仿宋_GB2312" w:eastAsia="仿宋_GB2312" w:cs="仿宋_GB2312"/>
          <w:color w:val="000000"/>
          <w:kern w:val="0"/>
          <w:sz w:val="32"/>
          <w:szCs w:val="32"/>
          <w:lang w:val="en-US" w:eastAsia="zh-CN" w:bidi="ar-SA"/>
        </w:rPr>
        <w:t>本办法自印发之日起施行。</w:t>
      </w:r>
    </w:p>
    <w:p/>
    <w:p>
      <w:pPr>
        <w:keepNext w:val="0"/>
        <w:keepLines w:val="0"/>
        <w:pageBreakBefore w:val="0"/>
        <w:widowControl w:val="0"/>
        <w:numPr>
          <w:ilvl w:val="0"/>
          <w:numId w:val="0"/>
        </w:numPr>
        <w:kinsoku/>
        <w:overflowPunct/>
        <w:topLinePunct w:val="0"/>
        <w:autoSpaceDE/>
        <w:bidi w:val="0"/>
        <w:adjustRightInd/>
        <w:snapToGrid/>
        <w:spacing w:line="576" w:lineRule="exact"/>
        <w:ind w:left="0" w:leftChars="0" w:firstLine="640"/>
        <w:jc w:val="both"/>
        <w:textAlignment w:val="auto"/>
        <w:rPr>
          <w:rFonts w:hint="default" w:ascii="仿宋_GB2312" w:hAnsi="仿宋_GB2312" w:eastAsia="仿宋_GB2312" w:cs="仿宋_GB2312"/>
          <w:b w:val="0"/>
          <w:bCs/>
          <w:sz w:val="32"/>
          <w:szCs w:val="32"/>
          <w:lang w:val="en-US" w:eastAsia="zh-CN"/>
        </w:rPr>
      </w:pPr>
    </w:p>
    <w:p>
      <w:pPr>
        <w:keepNext w:val="0"/>
        <w:keepLines w:val="0"/>
        <w:pageBreakBefore w:val="0"/>
        <w:widowControl w:val="0"/>
        <w:numPr>
          <w:ilvl w:val="0"/>
          <w:numId w:val="0"/>
        </w:numPr>
        <w:kinsoku/>
        <w:overflowPunct/>
        <w:topLinePunct w:val="0"/>
        <w:autoSpaceDE/>
        <w:bidi w:val="0"/>
        <w:adjustRightInd/>
        <w:snapToGrid/>
        <w:spacing w:line="576" w:lineRule="exact"/>
        <w:ind w:left="0" w:leftChars="0" w:firstLine="640"/>
        <w:jc w:val="both"/>
        <w:textAlignment w:val="auto"/>
        <w:rPr>
          <w:rFonts w:hint="default" w:ascii="仿宋_GB2312" w:hAnsi="仿宋_GB2312" w:eastAsia="仿宋_GB2312" w:cs="仿宋_GB2312"/>
          <w:b w:val="0"/>
          <w:bCs/>
          <w:sz w:val="32"/>
          <w:szCs w:val="32"/>
          <w:lang w:val="en-US" w:eastAsia="zh-CN"/>
        </w:rPr>
      </w:pPr>
    </w:p>
    <w:p>
      <w:pPr>
        <w:keepNext w:val="0"/>
        <w:keepLines w:val="0"/>
        <w:pageBreakBefore w:val="0"/>
        <w:widowControl w:val="0"/>
        <w:numPr>
          <w:ilvl w:val="0"/>
          <w:numId w:val="0"/>
        </w:numPr>
        <w:kinsoku/>
        <w:overflowPunct/>
        <w:topLinePunct w:val="0"/>
        <w:autoSpaceDE/>
        <w:bidi w:val="0"/>
        <w:adjustRightInd/>
        <w:snapToGrid/>
        <w:spacing w:line="576" w:lineRule="exact"/>
        <w:ind w:left="0" w:leftChars="0" w:firstLine="640"/>
        <w:jc w:val="both"/>
        <w:textAlignment w:val="auto"/>
        <w:rPr>
          <w:rFonts w:hint="default" w:ascii="仿宋_GB2312" w:hAnsi="仿宋_GB2312" w:eastAsia="仿宋_GB2312" w:cs="仿宋_GB2312"/>
          <w:b w:val="0"/>
          <w:bCs/>
          <w:sz w:val="32"/>
          <w:szCs w:val="32"/>
          <w:lang w:val="en-US" w:eastAsia="zh-CN"/>
        </w:rPr>
      </w:pPr>
    </w:p>
    <w:p>
      <w:pPr>
        <w:pStyle w:val="2"/>
        <w:rPr>
          <w:rFonts w:hint="default" w:ascii="仿宋_GB2312" w:hAnsi="仿宋_GB2312" w:eastAsia="仿宋_GB2312" w:cs="仿宋_GB2312"/>
          <w:b w:val="0"/>
          <w:bCs/>
          <w:sz w:val="32"/>
          <w:szCs w:val="32"/>
          <w:lang w:val="en-US" w:eastAsia="zh-CN"/>
        </w:rPr>
      </w:pPr>
    </w:p>
    <w:p>
      <w:pPr>
        <w:pStyle w:val="2"/>
        <w:rPr>
          <w:rFonts w:hint="default" w:ascii="仿宋_GB2312" w:hAnsi="仿宋_GB2312" w:eastAsia="仿宋_GB2312" w:cs="仿宋_GB2312"/>
          <w:b w:val="0"/>
          <w:bCs/>
          <w:sz w:val="32"/>
          <w:szCs w:val="32"/>
          <w:lang w:val="en-US" w:eastAsia="zh-CN"/>
        </w:rPr>
      </w:pPr>
    </w:p>
    <w:p>
      <w:pPr>
        <w:pStyle w:val="2"/>
        <w:rPr>
          <w:rFonts w:hint="default" w:ascii="仿宋_GB2312" w:hAnsi="仿宋_GB2312" w:eastAsia="仿宋_GB2312" w:cs="仿宋_GB2312"/>
          <w:b w:val="0"/>
          <w:bCs/>
          <w:sz w:val="32"/>
          <w:szCs w:val="32"/>
          <w:lang w:val="en-US" w:eastAsia="zh-CN"/>
        </w:rPr>
      </w:pPr>
    </w:p>
    <w:p>
      <w:pPr>
        <w:pStyle w:val="2"/>
        <w:rPr>
          <w:rFonts w:hint="default" w:ascii="仿宋_GB2312" w:hAnsi="仿宋_GB2312" w:eastAsia="仿宋_GB2312" w:cs="仿宋_GB2312"/>
          <w:b w:val="0"/>
          <w:bCs/>
          <w:sz w:val="32"/>
          <w:szCs w:val="32"/>
          <w:lang w:val="en-US" w:eastAsia="zh-CN"/>
        </w:rPr>
      </w:pPr>
    </w:p>
    <w:p>
      <w:pPr>
        <w:pStyle w:val="2"/>
        <w:rPr>
          <w:rFonts w:hint="default" w:ascii="仿宋_GB2312" w:hAnsi="仿宋_GB2312" w:eastAsia="仿宋_GB2312" w:cs="仿宋_GB2312"/>
          <w:b w:val="0"/>
          <w:bCs/>
          <w:sz w:val="32"/>
          <w:szCs w:val="32"/>
          <w:lang w:val="en-US" w:eastAsia="zh-CN"/>
        </w:rPr>
      </w:pPr>
    </w:p>
    <w:p>
      <w:pPr>
        <w:pStyle w:val="2"/>
        <w:rPr>
          <w:rFonts w:hint="default" w:ascii="仿宋_GB2312" w:hAnsi="仿宋_GB2312" w:eastAsia="仿宋_GB2312" w:cs="仿宋_GB2312"/>
          <w:b w:val="0"/>
          <w:bCs/>
          <w:sz w:val="32"/>
          <w:szCs w:val="32"/>
          <w:lang w:val="en-US" w:eastAsia="zh-CN"/>
        </w:rPr>
      </w:pPr>
    </w:p>
    <w:p>
      <w:pPr>
        <w:pStyle w:val="2"/>
        <w:rPr>
          <w:rFonts w:hint="default" w:ascii="仿宋_GB2312" w:hAnsi="仿宋_GB2312" w:eastAsia="仿宋_GB2312" w:cs="仿宋_GB2312"/>
          <w:b w:val="0"/>
          <w:bCs/>
          <w:sz w:val="32"/>
          <w:szCs w:val="32"/>
          <w:lang w:val="en-US" w:eastAsia="zh-CN"/>
        </w:rPr>
      </w:pPr>
    </w:p>
    <w:p>
      <w:pPr>
        <w:pStyle w:val="2"/>
        <w:rPr>
          <w:rFonts w:hint="default" w:ascii="仿宋_GB2312" w:hAnsi="仿宋_GB2312" w:eastAsia="仿宋_GB2312" w:cs="仿宋_GB2312"/>
          <w:b w:val="0"/>
          <w:bCs/>
          <w:sz w:val="32"/>
          <w:szCs w:val="32"/>
          <w:lang w:val="en-US" w:eastAsia="zh-CN"/>
        </w:rPr>
      </w:pPr>
    </w:p>
    <w:p>
      <w:pPr>
        <w:pStyle w:val="2"/>
        <w:rPr>
          <w:rFonts w:hint="default" w:ascii="仿宋_GB2312" w:hAnsi="仿宋_GB2312" w:eastAsia="仿宋_GB2312" w:cs="仿宋_GB2312"/>
          <w:b w:val="0"/>
          <w:bCs/>
          <w:sz w:val="32"/>
          <w:szCs w:val="32"/>
          <w:lang w:val="en-US" w:eastAsia="zh-CN"/>
        </w:rPr>
      </w:pPr>
    </w:p>
    <w:p>
      <w:pPr>
        <w:pStyle w:val="2"/>
        <w:rPr>
          <w:rFonts w:hint="default" w:ascii="仿宋_GB2312" w:hAnsi="仿宋_GB2312" w:eastAsia="仿宋_GB2312" w:cs="仿宋_GB2312"/>
          <w:b w:val="0"/>
          <w:bCs/>
          <w:sz w:val="32"/>
          <w:szCs w:val="32"/>
          <w:lang w:val="en-US" w:eastAsia="zh-CN"/>
        </w:rPr>
      </w:pPr>
    </w:p>
    <w:p>
      <w:pPr>
        <w:pStyle w:val="2"/>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仿宋_GB2312" w:eastAsia="仿宋_GB2312" w:cs="仿宋_GB2312"/>
          <w:b w:val="0"/>
          <w:bCs/>
          <w:sz w:val="32"/>
          <w:szCs w:val="32"/>
          <w:u w:val="single"/>
          <w:lang w:val="en-US" w:eastAsia="zh-CN"/>
        </w:rPr>
      </w:pPr>
      <w:r>
        <w:rPr>
          <w:rFonts w:hint="eastAsia" w:ascii="仿宋_GB2312" w:hAnsi="仿宋_GB2312" w:eastAsia="仿宋_GB2312" w:cs="仿宋_GB2312"/>
          <w:b w:val="0"/>
          <w:bCs/>
          <w:sz w:val="32"/>
          <w:szCs w:val="32"/>
          <w:u w:val="single"/>
          <w:lang w:val="en-US" w:eastAsia="zh-CN"/>
        </w:rPr>
        <w:t xml:space="preserve">                                                         </w:t>
      </w:r>
    </w:p>
    <w:p>
      <w:pPr>
        <w:pStyle w:val="2"/>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b w:val="0"/>
          <w:bCs/>
          <w:w w:val="90"/>
          <w:sz w:val="32"/>
          <w:szCs w:val="32"/>
          <w:u w:val="single"/>
          <w:lang w:val="en-US" w:eastAsia="zh-CN"/>
        </w:rPr>
      </w:pPr>
      <w:r>
        <w:rPr>
          <w:rFonts w:hint="eastAsia" w:ascii="仿宋_GB2312" w:hAnsi="仿宋_GB2312" w:eastAsia="仿宋_GB2312" w:cs="仿宋_GB2312"/>
          <w:b w:val="0"/>
          <w:bCs/>
          <w:w w:val="90"/>
          <w:sz w:val="32"/>
          <w:szCs w:val="32"/>
          <w:u w:val="none"/>
          <w:lang w:val="en-US" w:eastAsia="zh-CN"/>
        </w:rPr>
        <w:t xml:space="preserve">通化市社会信用体系建设工作领导小组办公室  </w:t>
      </w:r>
      <w:r>
        <w:rPr>
          <w:rFonts w:hint="eastAsia" w:ascii="Times New Roman" w:hAnsi="Times New Roman" w:eastAsia="仿宋_GB2312" w:cs="仿宋_GB2312"/>
          <w:b w:val="0"/>
          <w:bCs/>
          <w:w w:val="90"/>
          <w:sz w:val="32"/>
          <w:szCs w:val="32"/>
          <w:u w:val="none"/>
          <w:lang w:val="en-US" w:eastAsia="zh-CN"/>
        </w:rPr>
        <w:t>2022</w:t>
      </w:r>
      <w:r>
        <w:rPr>
          <w:rFonts w:hint="eastAsia" w:ascii="仿宋_GB2312" w:hAnsi="仿宋_GB2312" w:eastAsia="仿宋_GB2312" w:cs="仿宋_GB2312"/>
          <w:b w:val="0"/>
          <w:bCs/>
          <w:w w:val="90"/>
          <w:sz w:val="32"/>
          <w:szCs w:val="32"/>
          <w:u w:val="none"/>
          <w:lang w:val="en-US" w:eastAsia="zh-CN"/>
        </w:rPr>
        <w:t>年</w:t>
      </w:r>
      <w:r>
        <w:rPr>
          <w:rFonts w:hint="eastAsia" w:ascii="Times New Roman" w:hAnsi="Times New Roman" w:eastAsia="仿宋_GB2312" w:cs="仿宋_GB2312"/>
          <w:b w:val="0"/>
          <w:bCs/>
          <w:w w:val="90"/>
          <w:sz w:val="32"/>
          <w:szCs w:val="32"/>
          <w:u w:val="none"/>
          <w:lang w:val="en-US" w:eastAsia="zh-CN"/>
        </w:rPr>
        <w:t>11</w:t>
      </w:r>
      <w:r>
        <w:rPr>
          <w:rFonts w:hint="eastAsia" w:ascii="仿宋_GB2312" w:hAnsi="仿宋_GB2312" w:eastAsia="仿宋_GB2312" w:cs="仿宋_GB2312"/>
          <w:b w:val="0"/>
          <w:bCs/>
          <w:w w:val="90"/>
          <w:sz w:val="32"/>
          <w:szCs w:val="32"/>
          <w:u w:val="none"/>
          <w:lang w:val="en-US" w:eastAsia="zh-CN"/>
        </w:rPr>
        <w:t>月</w:t>
      </w:r>
      <w:r>
        <w:rPr>
          <w:rFonts w:hint="eastAsia" w:ascii="Times New Roman" w:hAnsi="Times New Roman" w:eastAsia="仿宋_GB2312" w:cs="仿宋_GB2312"/>
          <w:b w:val="0"/>
          <w:bCs/>
          <w:w w:val="90"/>
          <w:sz w:val="32"/>
          <w:szCs w:val="32"/>
          <w:u w:val="none"/>
          <w:lang w:val="en-US" w:eastAsia="zh-CN"/>
        </w:rPr>
        <w:t>3</w:t>
      </w:r>
      <w:r>
        <w:rPr>
          <w:rFonts w:hint="eastAsia" w:ascii="仿宋_GB2312" w:hAnsi="仿宋_GB2312" w:eastAsia="仿宋_GB2312" w:cs="仿宋_GB2312"/>
          <w:b w:val="0"/>
          <w:bCs/>
          <w:w w:val="90"/>
          <w:sz w:val="32"/>
          <w:szCs w:val="32"/>
          <w:u w:val="none"/>
          <w:lang w:val="en-US" w:eastAsia="zh-CN"/>
        </w:rPr>
        <w:t>日印发</w:t>
      </w:r>
      <w:r>
        <w:rPr>
          <w:rFonts w:hint="eastAsia" w:ascii="仿宋_GB2312" w:hAnsi="仿宋_GB2312" w:eastAsia="仿宋_GB2312" w:cs="仿宋_GB2312"/>
          <w:b w:val="0"/>
          <w:bCs/>
          <w:w w:val="90"/>
          <w:sz w:val="32"/>
          <w:szCs w:val="32"/>
          <w:u w:val="single"/>
          <w:lang w:val="en-US" w:eastAsia="zh-CN"/>
        </w:rPr>
        <w:t xml:space="preserve">   </w:t>
      </w:r>
    </w:p>
    <w:p>
      <w:pPr>
        <w:pStyle w:val="2"/>
        <w:keepNext w:val="0"/>
        <w:keepLines w:val="0"/>
        <w:pageBreakBefore w:val="0"/>
        <w:widowControl w:val="0"/>
        <w:kinsoku/>
        <w:wordWrap/>
        <w:overflowPunct/>
        <w:topLinePunct w:val="0"/>
        <w:autoSpaceDE/>
        <w:autoSpaceDN/>
        <w:bidi w:val="0"/>
        <w:adjustRightInd/>
        <w:snapToGrid/>
        <w:spacing w:line="40" w:lineRule="exact"/>
        <w:textAlignment w:val="auto"/>
        <w:rPr>
          <w:rFonts w:hint="default"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u w:val="single"/>
          <w:lang w:val="en-US" w:eastAsia="zh-CN"/>
        </w:rPr>
        <w:t xml:space="preserve">                                                        </w:t>
      </w:r>
    </w:p>
    <w:p>
      <w:pPr>
        <w:pStyle w:val="2"/>
        <w:rPr>
          <w:rFonts w:hint="default" w:ascii="仿宋_GB2312" w:hAnsi="仿宋_GB2312" w:eastAsia="仿宋_GB2312" w:cs="仿宋_GB2312"/>
          <w:b w:val="0"/>
          <w:bCs/>
          <w:sz w:val="32"/>
          <w:szCs w:val="32"/>
          <w:lang w:val="en-US" w:eastAsia="zh-CN"/>
        </w:rPr>
      </w:pPr>
    </w:p>
    <w:p>
      <w:pPr>
        <w:pStyle w:val="2"/>
        <w:rPr>
          <w:rFonts w:hint="default" w:ascii="仿宋_GB2312" w:hAnsi="仿宋_GB2312" w:eastAsia="仿宋_GB2312" w:cs="仿宋_GB2312"/>
          <w:b w:val="0"/>
          <w:bCs/>
          <w:sz w:val="32"/>
          <w:szCs w:val="32"/>
          <w:lang w:val="en-US" w:eastAsia="zh-CN"/>
        </w:rPr>
      </w:pPr>
    </w:p>
    <w:p>
      <w:pPr>
        <w:pStyle w:val="2"/>
        <w:rPr>
          <w:rFonts w:hint="default" w:ascii="仿宋_GB2312" w:hAnsi="仿宋_GB2312" w:eastAsia="仿宋_GB2312" w:cs="仿宋_GB2312"/>
          <w:b w:val="0"/>
          <w:bCs/>
          <w:sz w:val="32"/>
          <w:szCs w:val="32"/>
          <w:lang w:val="en-US" w:eastAsia="zh-CN"/>
        </w:rPr>
      </w:pPr>
    </w:p>
    <w:p>
      <w:pPr>
        <w:pStyle w:val="2"/>
        <w:rPr>
          <w:rFonts w:hint="default" w:ascii="仿宋_GB2312" w:hAnsi="仿宋_GB2312" w:eastAsia="仿宋_GB2312" w:cs="仿宋_GB2312"/>
          <w:b w:val="0"/>
          <w:bCs/>
          <w:sz w:val="32"/>
          <w:szCs w:val="32"/>
          <w:lang w:val="en-US" w:eastAsia="zh-CN"/>
        </w:rPr>
      </w:pPr>
    </w:p>
    <w:p>
      <w:pPr>
        <w:pStyle w:val="2"/>
        <w:rPr>
          <w:rFonts w:hint="default" w:ascii="仿宋_GB2312" w:hAnsi="仿宋_GB2312" w:eastAsia="仿宋_GB2312" w:cs="仿宋_GB2312"/>
          <w:b w:val="0"/>
          <w:bCs/>
          <w:sz w:val="32"/>
          <w:szCs w:val="32"/>
          <w:lang w:val="en-US" w:eastAsia="zh-CN"/>
        </w:rPr>
      </w:pPr>
    </w:p>
    <w:p>
      <w:pPr>
        <w:pStyle w:val="2"/>
        <w:rPr>
          <w:rFonts w:hint="default" w:ascii="仿宋_GB2312" w:hAnsi="仿宋_GB2312" w:eastAsia="仿宋_GB2312" w:cs="仿宋_GB2312"/>
          <w:b w:val="0"/>
          <w:bCs/>
          <w:sz w:val="32"/>
          <w:szCs w:val="32"/>
          <w:lang w:val="en-US" w:eastAsia="zh-CN"/>
        </w:rPr>
      </w:pPr>
    </w:p>
    <w:p>
      <w:pPr>
        <w:pStyle w:val="2"/>
        <w:rPr>
          <w:rFonts w:hint="default" w:ascii="仿宋_GB2312" w:hAnsi="仿宋_GB2312" w:eastAsia="仿宋_GB2312" w:cs="仿宋_GB2312"/>
          <w:b w:val="0"/>
          <w:bCs/>
          <w:sz w:val="32"/>
          <w:szCs w:val="32"/>
          <w:lang w:val="en-US" w:eastAsia="zh-CN"/>
        </w:rPr>
      </w:pPr>
    </w:p>
    <w:p>
      <w:pPr>
        <w:pStyle w:val="2"/>
        <w:rPr>
          <w:rFonts w:hint="default" w:ascii="仿宋_GB2312" w:hAnsi="仿宋_GB2312" w:eastAsia="仿宋_GB2312" w:cs="仿宋_GB2312"/>
          <w:b w:val="0"/>
          <w:bCs/>
          <w:sz w:val="32"/>
          <w:szCs w:val="32"/>
          <w:lang w:val="en-US" w:eastAsia="zh-CN"/>
        </w:rPr>
      </w:pPr>
    </w:p>
    <w:p>
      <w:pPr>
        <w:pStyle w:val="2"/>
        <w:rPr>
          <w:rFonts w:hint="default" w:ascii="仿宋_GB2312" w:hAnsi="仿宋_GB2312" w:eastAsia="仿宋_GB2312" w:cs="仿宋_GB2312"/>
          <w:b w:val="0"/>
          <w:bCs/>
          <w:sz w:val="32"/>
          <w:szCs w:val="32"/>
          <w:lang w:val="en-US" w:eastAsia="zh-CN"/>
        </w:rPr>
      </w:pPr>
    </w:p>
    <w:p>
      <w:pPr>
        <w:pStyle w:val="2"/>
        <w:rPr>
          <w:rFonts w:hint="default" w:ascii="仿宋_GB2312" w:hAnsi="仿宋_GB2312" w:eastAsia="仿宋_GB2312" w:cs="仿宋_GB2312"/>
          <w:b w:val="0"/>
          <w:bCs/>
          <w:sz w:val="32"/>
          <w:szCs w:val="32"/>
          <w:lang w:val="en-US" w:eastAsia="zh-CN"/>
        </w:rPr>
      </w:pPr>
    </w:p>
    <w:p>
      <w:pPr>
        <w:pStyle w:val="2"/>
        <w:rPr>
          <w:rFonts w:hint="default" w:ascii="仿宋_GB2312" w:hAnsi="仿宋_GB2312" w:eastAsia="仿宋_GB2312" w:cs="仿宋_GB2312"/>
          <w:b w:val="0"/>
          <w:bCs/>
          <w:sz w:val="32"/>
          <w:szCs w:val="32"/>
          <w:lang w:val="en-US" w:eastAsia="zh-CN"/>
        </w:rPr>
      </w:pPr>
    </w:p>
    <w:p>
      <w:pPr>
        <w:pStyle w:val="2"/>
        <w:rPr>
          <w:rFonts w:hint="default" w:ascii="仿宋_GB2312" w:hAnsi="仿宋_GB2312" w:eastAsia="仿宋_GB2312" w:cs="仿宋_GB2312"/>
          <w:b w:val="0"/>
          <w:bCs/>
          <w:sz w:val="32"/>
          <w:szCs w:val="32"/>
          <w:lang w:val="en-US" w:eastAsia="zh-CN"/>
        </w:rPr>
      </w:pPr>
    </w:p>
    <w:p>
      <w:pPr>
        <w:pStyle w:val="2"/>
        <w:rPr>
          <w:rFonts w:hint="default" w:ascii="仿宋_GB2312" w:hAnsi="仿宋_GB2312" w:eastAsia="仿宋_GB2312" w:cs="仿宋_GB2312"/>
          <w:b w:val="0"/>
          <w:bCs/>
          <w:sz w:val="32"/>
          <w:szCs w:val="32"/>
          <w:lang w:val="en-US" w:eastAsia="zh-CN"/>
        </w:rPr>
      </w:pPr>
    </w:p>
    <w:p>
      <w:pPr>
        <w:pStyle w:val="2"/>
        <w:rPr>
          <w:rFonts w:hint="default" w:ascii="仿宋_GB2312" w:hAnsi="仿宋_GB2312" w:eastAsia="仿宋_GB2312" w:cs="仿宋_GB2312"/>
          <w:b w:val="0"/>
          <w:bCs/>
          <w:sz w:val="32"/>
          <w:szCs w:val="32"/>
          <w:lang w:val="en-US" w:eastAsia="zh-CN"/>
        </w:rPr>
      </w:pPr>
    </w:p>
    <w:p>
      <w:pPr>
        <w:pStyle w:val="2"/>
        <w:rPr>
          <w:rFonts w:hint="default" w:ascii="仿宋_GB2312" w:hAnsi="仿宋_GB2312" w:eastAsia="仿宋_GB2312" w:cs="仿宋_GB2312"/>
          <w:b w:val="0"/>
          <w:bCs/>
          <w:sz w:val="32"/>
          <w:szCs w:val="32"/>
          <w:lang w:val="en-US" w:eastAsia="zh-CN"/>
        </w:rPr>
      </w:pPr>
    </w:p>
    <w:p>
      <w:pPr>
        <w:pStyle w:val="2"/>
        <w:rPr>
          <w:rFonts w:hint="default" w:ascii="仿宋_GB2312" w:hAnsi="仿宋_GB2312" w:eastAsia="仿宋_GB2312" w:cs="仿宋_GB2312"/>
          <w:b w:val="0"/>
          <w:bCs/>
          <w:sz w:val="32"/>
          <w:szCs w:val="32"/>
          <w:lang w:val="en-US" w:eastAsia="zh-CN"/>
        </w:rPr>
      </w:pPr>
    </w:p>
    <w:p>
      <w:pPr>
        <w:pStyle w:val="2"/>
        <w:rPr>
          <w:rFonts w:hint="default" w:ascii="仿宋_GB2312" w:hAnsi="仿宋_GB2312" w:eastAsia="仿宋_GB2312" w:cs="仿宋_GB2312"/>
          <w:b w:val="0"/>
          <w:bCs/>
          <w:sz w:val="32"/>
          <w:szCs w:val="32"/>
          <w:lang w:val="en-US" w:eastAsia="zh-CN"/>
        </w:rPr>
      </w:pPr>
    </w:p>
    <w:p>
      <w:pPr>
        <w:pStyle w:val="2"/>
        <w:rPr>
          <w:rFonts w:hint="default" w:ascii="仿宋_GB2312" w:hAnsi="仿宋_GB2312" w:eastAsia="仿宋_GB2312" w:cs="仿宋_GB2312"/>
          <w:b w:val="0"/>
          <w:bCs/>
          <w:sz w:val="32"/>
          <w:szCs w:val="32"/>
          <w:lang w:val="en-US" w:eastAsia="zh-CN"/>
        </w:rPr>
      </w:pPr>
    </w:p>
    <w:p>
      <w:pPr>
        <w:pStyle w:val="2"/>
        <w:rPr>
          <w:rFonts w:hint="default" w:ascii="仿宋_GB2312" w:hAnsi="仿宋_GB2312" w:eastAsia="仿宋_GB2312" w:cs="仿宋_GB2312"/>
          <w:b w:val="0"/>
          <w:bCs/>
          <w:sz w:val="32"/>
          <w:szCs w:val="32"/>
          <w:lang w:val="en-US" w:eastAsia="zh-CN"/>
        </w:rPr>
      </w:pPr>
    </w:p>
    <w:p>
      <w:pPr>
        <w:pStyle w:val="2"/>
        <w:rPr>
          <w:rFonts w:hint="default" w:ascii="仿宋_GB2312" w:hAnsi="仿宋_GB2312" w:eastAsia="仿宋_GB2312" w:cs="仿宋_GB2312"/>
          <w:b w:val="0"/>
          <w:bCs/>
          <w:sz w:val="32"/>
          <w:szCs w:val="32"/>
          <w:lang w:val="en-US" w:eastAsia="zh-CN"/>
        </w:rPr>
      </w:pPr>
    </w:p>
    <w:p>
      <w:pPr>
        <w:pStyle w:val="2"/>
        <w:rPr>
          <w:rFonts w:hint="default" w:ascii="仿宋_GB2312" w:hAnsi="仿宋_GB2312" w:eastAsia="仿宋_GB2312" w:cs="仿宋_GB2312"/>
          <w:b w:val="0"/>
          <w:bCs/>
          <w:sz w:val="32"/>
          <w:szCs w:val="32"/>
          <w:lang w:val="en-US" w:eastAsia="zh-CN"/>
        </w:rPr>
      </w:pPr>
    </w:p>
    <w:p>
      <w:pPr>
        <w:pStyle w:val="2"/>
        <w:rPr>
          <w:rFonts w:hint="default" w:ascii="仿宋_GB2312" w:hAnsi="仿宋_GB2312" w:eastAsia="仿宋_GB2312" w:cs="仿宋_GB2312"/>
          <w:b w:val="0"/>
          <w:bCs/>
          <w:sz w:val="32"/>
          <w:szCs w:val="32"/>
          <w:lang w:val="en-US" w:eastAsia="zh-CN"/>
        </w:rPr>
      </w:pPr>
    </w:p>
    <w:p>
      <w:pPr>
        <w:pStyle w:val="2"/>
        <w:rPr>
          <w:rFonts w:hint="default" w:ascii="仿宋_GB2312" w:hAnsi="仿宋_GB2312" w:eastAsia="仿宋_GB2312" w:cs="仿宋_GB2312"/>
          <w:b w:val="0"/>
          <w:bCs/>
          <w:sz w:val="32"/>
          <w:szCs w:val="32"/>
          <w:lang w:val="en-US" w:eastAsia="zh-CN"/>
        </w:rPr>
      </w:pPr>
    </w:p>
    <w:p>
      <w:pPr>
        <w:pStyle w:val="2"/>
        <w:rPr>
          <w:rFonts w:hint="default" w:ascii="仿宋_GB2312" w:hAnsi="仿宋_GB2312" w:eastAsia="仿宋_GB2312" w:cs="仿宋_GB2312"/>
          <w:b w:val="0"/>
          <w:bCs/>
          <w:sz w:val="32"/>
          <w:szCs w:val="32"/>
          <w:lang w:val="en-US" w:eastAsia="zh-CN"/>
        </w:rPr>
      </w:pPr>
    </w:p>
    <w:p>
      <w:pPr>
        <w:pStyle w:val="2"/>
        <w:rPr>
          <w:rFonts w:hint="default" w:ascii="仿宋_GB2312" w:hAnsi="仿宋_GB2312" w:eastAsia="仿宋_GB2312" w:cs="仿宋_GB2312"/>
          <w:b w:val="0"/>
          <w:bCs/>
          <w:sz w:val="32"/>
          <w:szCs w:val="32"/>
          <w:lang w:val="en-US" w:eastAsia="zh-CN"/>
        </w:rPr>
      </w:pPr>
    </w:p>
    <w:p>
      <w:pPr>
        <w:pStyle w:val="2"/>
        <w:rPr>
          <w:rFonts w:hint="default" w:ascii="仿宋_GB2312" w:hAnsi="仿宋_GB2312" w:eastAsia="仿宋_GB2312" w:cs="仿宋_GB2312"/>
          <w:b w:val="0"/>
          <w:bCs/>
          <w:sz w:val="32"/>
          <w:szCs w:val="32"/>
          <w:lang w:val="en-US" w:eastAsia="zh-CN"/>
        </w:rPr>
      </w:pPr>
    </w:p>
    <w:p>
      <w:pPr>
        <w:pStyle w:val="2"/>
        <w:rPr>
          <w:rFonts w:hint="default" w:ascii="仿宋_GB2312" w:hAnsi="仿宋_GB2312" w:eastAsia="仿宋_GB2312" w:cs="仿宋_GB2312"/>
          <w:b w:val="0"/>
          <w:bCs/>
          <w:sz w:val="32"/>
          <w:szCs w:val="32"/>
          <w:lang w:val="en-US" w:eastAsia="zh-CN"/>
        </w:rPr>
      </w:pPr>
    </w:p>
    <w:p>
      <w:pPr>
        <w:pStyle w:val="2"/>
        <w:rPr>
          <w:rFonts w:hint="default" w:ascii="仿宋_GB2312" w:hAnsi="仿宋_GB2312" w:eastAsia="仿宋_GB2312" w:cs="仿宋_GB2312"/>
          <w:b w:val="0"/>
          <w:bCs/>
          <w:sz w:val="32"/>
          <w:szCs w:val="32"/>
          <w:lang w:val="en-US" w:eastAsia="zh-CN"/>
        </w:rPr>
      </w:pPr>
    </w:p>
    <w:p>
      <w:pPr>
        <w:pStyle w:val="2"/>
        <w:rPr>
          <w:rFonts w:hint="default" w:ascii="仿宋_GB2312" w:hAnsi="仿宋_GB2312" w:eastAsia="仿宋_GB2312" w:cs="仿宋_GB2312"/>
          <w:b w:val="0"/>
          <w:bCs/>
          <w:sz w:val="32"/>
          <w:szCs w:val="32"/>
          <w:lang w:val="en-US" w:eastAsia="zh-CN"/>
        </w:rPr>
      </w:pPr>
    </w:p>
    <w:p>
      <w:pPr>
        <w:pStyle w:val="2"/>
        <w:rPr>
          <w:rFonts w:hint="default" w:ascii="仿宋_GB2312" w:hAnsi="仿宋_GB2312" w:eastAsia="仿宋_GB2312" w:cs="仿宋_GB2312"/>
          <w:b w:val="0"/>
          <w:bCs/>
          <w:sz w:val="32"/>
          <w:szCs w:val="32"/>
          <w:lang w:val="en-US" w:eastAsia="zh-CN"/>
        </w:rPr>
      </w:pPr>
    </w:p>
    <w:p>
      <w:pPr>
        <w:pStyle w:val="2"/>
        <w:rPr>
          <w:rFonts w:hint="default" w:ascii="仿宋_GB2312" w:hAnsi="仿宋_GB2312" w:eastAsia="仿宋_GB2312" w:cs="仿宋_GB2312"/>
          <w:b w:val="0"/>
          <w:bCs/>
          <w:sz w:val="32"/>
          <w:szCs w:val="32"/>
          <w:lang w:val="en-US" w:eastAsia="zh-CN"/>
        </w:rPr>
      </w:pPr>
    </w:p>
    <w:p>
      <w:pPr>
        <w:pStyle w:val="2"/>
        <w:rPr>
          <w:rFonts w:hint="default" w:ascii="仿宋_GB2312" w:hAnsi="仿宋_GB2312" w:eastAsia="仿宋_GB2312" w:cs="仿宋_GB2312"/>
          <w:b w:val="0"/>
          <w:bCs/>
          <w:sz w:val="32"/>
          <w:szCs w:val="32"/>
          <w:lang w:val="en-US" w:eastAsia="zh-CN"/>
        </w:rPr>
      </w:pPr>
    </w:p>
    <w:sectPr>
      <w:footerReference r:id="rId3" w:type="default"/>
      <w:pgSz w:w="11906" w:h="16838"/>
      <w:pgMar w:top="2098" w:right="1531" w:bottom="1984" w:left="1531" w:header="851" w:footer="1474"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176FFF0-26A4-4FBB-8B9F-BF9E9227AB8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8F18777D-A0E1-4710-956A-712C5D2CDA61}"/>
  </w:font>
  <w:font w:name="仿宋_GB2312">
    <w:panose1 w:val="02010609030101010101"/>
    <w:charset w:val="86"/>
    <w:family w:val="auto"/>
    <w:pitch w:val="default"/>
    <w:sig w:usb0="00000001" w:usb1="080E0000" w:usb2="00000000" w:usb3="00000000" w:csb0="00040000" w:csb1="00000000"/>
    <w:embedRegular r:id="rId3" w:fontKey="{E0BC5914-5A75-4828-AB01-5CC9E253B920}"/>
  </w:font>
  <w:font w:name="仿宋">
    <w:panose1 w:val="02010609060101010101"/>
    <w:charset w:val="86"/>
    <w:family w:val="auto"/>
    <w:pitch w:val="default"/>
    <w:sig w:usb0="800002BF" w:usb1="38CF7CFA" w:usb2="00000016" w:usb3="00000000" w:csb0="00040001" w:csb1="00000000"/>
    <w:embedRegular r:id="rId4" w:fontKey="{0A43BBD1-A3A8-4035-B770-8AE31CAE7ADF}"/>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大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rFonts w:ascii="Calibri" w:hAnsi="Calibri" w:eastAsia="宋体" w:cs="黑体"/>
        <w:kern w:val="2"/>
        <w:sz w:val="18"/>
        <w:szCs w:val="24"/>
        <w:lang w:val="en-US" w:eastAsia="zh-CN" w:bidi="ar-SA"/>
      </w:rPr>
      <w:pict>
        <v:shape id="文本框 2" o:spid="_x0000_s2049"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snapToGrid w:val="0"/>
                  <w:rPr>
                    <w:rFonts w:hint="eastAsia" w:eastAsia="宋体"/>
                    <w:sz w:val="18"/>
                    <w:lang w:eastAsia="zh-CN"/>
                  </w:rPr>
                </w:pP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sz w:val="28"/>
                    <w:szCs w:val="28"/>
                  </w:rPr>
                  <w:t>1</w:t>
                </w:r>
                <w:r>
                  <w:rPr>
                    <w:rFonts w:hint="eastAsia"/>
                    <w:sz w:val="28"/>
                    <w:szCs w:val="28"/>
                    <w:lang w:eastAsia="zh-CN"/>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EA366B"/>
    <w:multiLevelType w:val="multilevel"/>
    <w:tmpl w:val="4BEA366B"/>
    <w:lvl w:ilvl="0" w:tentative="0">
      <w:start w:val="1"/>
      <w:numFmt w:val="chineseCounting"/>
      <w:pStyle w:val="3"/>
      <w:suff w:val="nothing"/>
      <w:lvlText w:val="%1、"/>
      <w:lvlJc w:val="left"/>
      <w:pPr>
        <w:ind w:left="0" w:firstLine="0"/>
      </w:pPr>
      <w:rPr>
        <w:rFonts w:hint="eastAsia"/>
      </w:rPr>
    </w:lvl>
    <w:lvl w:ilvl="1" w:tentative="0">
      <w:start w:val="1"/>
      <w:numFmt w:val="chineseCounting"/>
      <w:pStyle w:val="4"/>
      <w:suff w:val="nothing"/>
      <w:lvlText w:val="（%2）"/>
      <w:lvlJc w:val="left"/>
      <w:pPr>
        <w:ind w:left="0" w:firstLine="0"/>
      </w:pPr>
      <w:rPr>
        <w:rFonts w:hint="eastAsia"/>
      </w:rPr>
    </w:lvl>
    <w:lvl w:ilvl="2" w:tentative="0">
      <w:start w:val="1"/>
      <w:numFmt w:val="decimal"/>
      <w:suff w:val="nothing"/>
      <w:lvlText w:val="%3．"/>
      <w:lvlJc w:val="left"/>
      <w:pPr>
        <w:ind w:left="0" w:firstLine="400"/>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1"/>
  </w:compat>
  <w:docVars>
    <w:docVar w:name="commondata" w:val="eyJoZGlkIjoiNDc4MGY1NDMxNGFlMGY3ZjQxYjMxYjFlNmY3MmU2OTQifQ=="/>
  </w:docVars>
  <w:rsids>
    <w:rsidRoot w:val="6A3E1F88"/>
    <w:rsid w:val="004D4E2B"/>
    <w:rsid w:val="01066BBC"/>
    <w:rsid w:val="022E51A4"/>
    <w:rsid w:val="03373706"/>
    <w:rsid w:val="050554DD"/>
    <w:rsid w:val="06731C44"/>
    <w:rsid w:val="06A068CD"/>
    <w:rsid w:val="07F839A0"/>
    <w:rsid w:val="08B9401B"/>
    <w:rsid w:val="09950AA5"/>
    <w:rsid w:val="09D24FBD"/>
    <w:rsid w:val="0A0B32E2"/>
    <w:rsid w:val="0A7333A0"/>
    <w:rsid w:val="0A9A3CBA"/>
    <w:rsid w:val="0BAC06FB"/>
    <w:rsid w:val="0CAF3641"/>
    <w:rsid w:val="0D2E7EA2"/>
    <w:rsid w:val="0D4E2BD4"/>
    <w:rsid w:val="0F091A34"/>
    <w:rsid w:val="0F361ECC"/>
    <w:rsid w:val="12323B41"/>
    <w:rsid w:val="12957323"/>
    <w:rsid w:val="12C05C0C"/>
    <w:rsid w:val="138F28CD"/>
    <w:rsid w:val="13A76017"/>
    <w:rsid w:val="14C47DDC"/>
    <w:rsid w:val="168E3678"/>
    <w:rsid w:val="18C25909"/>
    <w:rsid w:val="197B3CDD"/>
    <w:rsid w:val="19A17500"/>
    <w:rsid w:val="19C42DFA"/>
    <w:rsid w:val="1A085187"/>
    <w:rsid w:val="1A1D50D7"/>
    <w:rsid w:val="1AE66486"/>
    <w:rsid w:val="1B600D27"/>
    <w:rsid w:val="1C7E4C2A"/>
    <w:rsid w:val="1D680343"/>
    <w:rsid w:val="1DE21BFC"/>
    <w:rsid w:val="1E9725FA"/>
    <w:rsid w:val="1ED1437B"/>
    <w:rsid w:val="1F651171"/>
    <w:rsid w:val="1FBF2ACF"/>
    <w:rsid w:val="22551E62"/>
    <w:rsid w:val="228A0535"/>
    <w:rsid w:val="230107E6"/>
    <w:rsid w:val="230706D2"/>
    <w:rsid w:val="238E6718"/>
    <w:rsid w:val="25AC5199"/>
    <w:rsid w:val="26C06186"/>
    <w:rsid w:val="27470A00"/>
    <w:rsid w:val="275E0626"/>
    <w:rsid w:val="28247621"/>
    <w:rsid w:val="2A202079"/>
    <w:rsid w:val="2B8D4AE5"/>
    <w:rsid w:val="2BA27965"/>
    <w:rsid w:val="2C385824"/>
    <w:rsid w:val="2C6C5978"/>
    <w:rsid w:val="2D7F1BFC"/>
    <w:rsid w:val="2DCA34EB"/>
    <w:rsid w:val="2EA53E15"/>
    <w:rsid w:val="2F6751AB"/>
    <w:rsid w:val="2FBE0688"/>
    <w:rsid w:val="2FF04F17"/>
    <w:rsid w:val="31640B6A"/>
    <w:rsid w:val="319E19E7"/>
    <w:rsid w:val="31FE0EF2"/>
    <w:rsid w:val="322202AA"/>
    <w:rsid w:val="325B2C8B"/>
    <w:rsid w:val="338C3E1F"/>
    <w:rsid w:val="338C61B1"/>
    <w:rsid w:val="33C14CE2"/>
    <w:rsid w:val="3482405C"/>
    <w:rsid w:val="38A123DB"/>
    <w:rsid w:val="3929719C"/>
    <w:rsid w:val="39D14170"/>
    <w:rsid w:val="39F374A0"/>
    <w:rsid w:val="3A0E0ACA"/>
    <w:rsid w:val="3ADE2D7C"/>
    <w:rsid w:val="3C8F7316"/>
    <w:rsid w:val="3CDB07AE"/>
    <w:rsid w:val="3DC20FD2"/>
    <w:rsid w:val="3F4E2026"/>
    <w:rsid w:val="3FDF19A1"/>
    <w:rsid w:val="4044721B"/>
    <w:rsid w:val="40AE799C"/>
    <w:rsid w:val="40F55A1F"/>
    <w:rsid w:val="416D6E0D"/>
    <w:rsid w:val="41D45847"/>
    <w:rsid w:val="427D032B"/>
    <w:rsid w:val="4305340F"/>
    <w:rsid w:val="457C2402"/>
    <w:rsid w:val="45D81DE2"/>
    <w:rsid w:val="47CC2C1B"/>
    <w:rsid w:val="485D4FC6"/>
    <w:rsid w:val="48C808A1"/>
    <w:rsid w:val="49B87959"/>
    <w:rsid w:val="4A565A8D"/>
    <w:rsid w:val="4AE772DA"/>
    <w:rsid w:val="4D1273B0"/>
    <w:rsid w:val="4DDB7EAE"/>
    <w:rsid w:val="4E59789B"/>
    <w:rsid w:val="4E654746"/>
    <w:rsid w:val="4EE308CB"/>
    <w:rsid w:val="51C35703"/>
    <w:rsid w:val="52CD73FE"/>
    <w:rsid w:val="536F5D20"/>
    <w:rsid w:val="546450D5"/>
    <w:rsid w:val="55746578"/>
    <w:rsid w:val="55A24274"/>
    <w:rsid w:val="56F86F55"/>
    <w:rsid w:val="585C67EF"/>
    <w:rsid w:val="587F4822"/>
    <w:rsid w:val="589513E3"/>
    <w:rsid w:val="5A206DCE"/>
    <w:rsid w:val="5A6A07AC"/>
    <w:rsid w:val="5B75772E"/>
    <w:rsid w:val="5C073404"/>
    <w:rsid w:val="5C9B64A5"/>
    <w:rsid w:val="5D4E524B"/>
    <w:rsid w:val="5E5B33A6"/>
    <w:rsid w:val="5F7365BB"/>
    <w:rsid w:val="60887594"/>
    <w:rsid w:val="61696255"/>
    <w:rsid w:val="624D53FA"/>
    <w:rsid w:val="638544D8"/>
    <w:rsid w:val="644B741C"/>
    <w:rsid w:val="660A01C3"/>
    <w:rsid w:val="67596D17"/>
    <w:rsid w:val="6A4576E6"/>
    <w:rsid w:val="6B0C065D"/>
    <w:rsid w:val="6B64155A"/>
    <w:rsid w:val="6B816C0F"/>
    <w:rsid w:val="6BF1335D"/>
    <w:rsid w:val="6C172FE6"/>
    <w:rsid w:val="6C560476"/>
    <w:rsid w:val="6CF0036F"/>
    <w:rsid w:val="6E3E3429"/>
    <w:rsid w:val="6F196CD5"/>
    <w:rsid w:val="6FB57DD3"/>
    <w:rsid w:val="71341527"/>
    <w:rsid w:val="71EC129E"/>
    <w:rsid w:val="72045938"/>
    <w:rsid w:val="72DE2883"/>
    <w:rsid w:val="731A4E85"/>
    <w:rsid w:val="731F2B17"/>
    <w:rsid w:val="7436186C"/>
    <w:rsid w:val="745218DE"/>
    <w:rsid w:val="74EC5F5A"/>
    <w:rsid w:val="75A57595"/>
    <w:rsid w:val="77B76FCD"/>
    <w:rsid w:val="780A4A7F"/>
    <w:rsid w:val="780D04F8"/>
    <w:rsid w:val="78206C22"/>
    <w:rsid w:val="78D7220F"/>
    <w:rsid w:val="790A6B88"/>
    <w:rsid w:val="7AA3752B"/>
    <w:rsid w:val="7B1A4ADC"/>
    <w:rsid w:val="7BB26E54"/>
    <w:rsid w:val="7D5B3637"/>
    <w:rsid w:val="7D690DF3"/>
    <w:rsid w:val="7DCA36D2"/>
    <w:rsid w:val="7E586BA4"/>
    <w:rsid w:val="7F723AA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4"/>
      <w:lang w:val="en-US" w:eastAsia="zh-CN" w:bidi="ar-SA"/>
    </w:rPr>
  </w:style>
  <w:style w:type="paragraph" w:styleId="3">
    <w:name w:val="heading 1"/>
    <w:basedOn w:val="1"/>
    <w:next w:val="1"/>
    <w:qFormat/>
    <w:uiPriority w:val="0"/>
    <w:pPr>
      <w:keepNext/>
      <w:keepLines/>
      <w:numPr>
        <w:ilvl w:val="0"/>
        <w:numId w:val="1"/>
      </w:numPr>
      <w:spacing w:before="340" w:beforeLines="0" w:beforeAutospacing="0" w:after="330" w:afterLines="0" w:afterAutospacing="0" w:line="576" w:lineRule="auto"/>
      <w:outlineLvl w:val="0"/>
    </w:pPr>
    <w:rPr>
      <w:b/>
      <w:kern w:val="44"/>
      <w:sz w:val="44"/>
    </w:rPr>
  </w:style>
  <w:style w:type="paragraph" w:styleId="4">
    <w:name w:val="heading 2"/>
    <w:basedOn w:val="1"/>
    <w:next w:val="1"/>
    <w:unhideWhenUsed/>
    <w:qFormat/>
    <w:uiPriority w:val="0"/>
    <w:pPr>
      <w:keepNext/>
      <w:keepLines/>
      <w:numPr>
        <w:ilvl w:val="1"/>
        <w:numId w:val="1"/>
      </w:numPr>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afterLines="0" w:afterAutospacing="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7">
    <w:name w:val="Normal (Web)"/>
    <w:basedOn w:val="1"/>
    <w:unhideWhenUsed/>
    <w:qFormat/>
    <w:uiPriority w:val="99"/>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SA"/>
    </w:rPr>
  </w:style>
  <w:style w:type="character" w:styleId="10">
    <w:name w:val="Hyperlink"/>
    <w:basedOn w:val="9"/>
    <w:qFormat/>
    <w:uiPriority w:val="0"/>
    <w:rPr>
      <w:color w:val="0000FF"/>
      <w:u w:val="single"/>
    </w:rPr>
  </w:style>
  <w:style w:type="paragraph" w:customStyle="1" w:styleId="11">
    <w:name w:val="正文首行缩进 21"/>
    <w:basedOn w:val="12"/>
    <w:qFormat/>
    <w:uiPriority w:val="0"/>
    <w:pPr>
      <w:spacing w:after="0"/>
      <w:ind w:firstLine="420" w:firstLineChars="200"/>
    </w:pPr>
  </w:style>
  <w:style w:type="paragraph" w:customStyle="1" w:styleId="12">
    <w:name w:val="正文文本缩进1"/>
    <w:basedOn w:val="1"/>
    <w:next w:val="13"/>
    <w:qFormat/>
    <w:uiPriority w:val="0"/>
    <w:pPr>
      <w:spacing w:after="120"/>
      <w:ind w:left="420" w:leftChars="200"/>
    </w:pPr>
    <w:rPr>
      <w:rFonts w:ascii="Calibri" w:hAnsi="Calibri"/>
    </w:rPr>
  </w:style>
  <w:style w:type="paragraph" w:customStyle="1" w:styleId="13">
    <w:name w:val="正文缩进1"/>
    <w:basedOn w:val="1"/>
    <w:qFormat/>
    <w:uiPriority w:val="0"/>
    <w:pPr>
      <w:ind w:firstLine="420" w:firstLineChars="200"/>
    </w:pPr>
    <w:rPr>
      <w:rFonts w:ascii="Calibri" w:hAnsi="Calibri" w:eastAsia="仿宋"/>
      <w:sz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27</Pages>
  <Words>11191</Words>
  <Characters>11195</Characters>
  <Lines>0</Lines>
  <Paragraphs>0</Paragraphs>
  <TotalTime>9</TotalTime>
  <ScaleCrop>false</ScaleCrop>
  <LinksUpToDate>false</LinksUpToDate>
  <CharactersWithSpaces>11404</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2020-02-24T07:51:00Z</dcterms:created>
  <dc:creator>Administrator</dc:creator>
  <cp:lastModifiedBy>王振宇</cp:lastModifiedBy>
  <cp:lastPrinted>2022-11-02T08:34:00Z</cp:lastPrinted>
  <dcterms:modified xsi:type="dcterms:W3CDTF">2022-11-17T02:08:40Z</dcterms:modified>
  <dc:title>通化市社会信用体系建设工作领导小组办公室</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1DFCA621E0D243B6B0C8E83A52EE1E28</vt:lpwstr>
  </property>
</Properties>
</file>