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F73965">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imes New Roman"/>
          <w:b w:val="0"/>
          <w:bCs/>
          <w:sz w:val="32"/>
          <w:szCs w:val="32"/>
        </w:rPr>
      </w:pPr>
    </w:p>
    <w:p w14:paraId="04E28026">
      <w:pPr>
        <w:keepNext w:val="0"/>
        <w:keepLines w:val="0"/>
        <w:pageBreakBefore w:val="0"/>
        <w:widowControl w:val="0"/>
        <w:kinsoku/>
        <w:wordWrap/>
        <w:overflowPunct/>
        <w:topLinePunct w:val="0"/>
        <w:autoSpaceDE/>
        <w:autoSpaceDN/>
        <w:bidi w:val="0"/>
        <w:adjustRightInd/>
        <w:spacing w:line="576" w:lineRule="exact"/>
        <w:jc w:val="center"/>
        <w:textAlignment w:val="auto"/>
        <w:rPr>
          <w:rFonts w:hint="default" w:ascii="Times New Roman" w:hAnsi="Times New Roman" w:eastAsia="仿宋_GB2312" w:cs="Times New Roman"/>
          <w:b w:val="0"/>
          <w:bCs/>
          <w:sz w:val="32"/>
          <w:szCs w:val="32"/>
        </w:rPr>
      </w:pPr>
    </w:p>
    <w:p w14:paraId="109426C2">
      <w:pPr>
        <w:keepNext w:val="0"/>
        <w:keepLines w:val="0"/>
        <w:pageBreakBefore w:val="0"/>
        <w:widowControl w:val="0"/>
        <w:kinsoku/>
        <w:wordWrap/>
        <w:overflowPunct/>
        <w:topLinePunct w:val="0"/>
        <w:autoSpaceDE/>
        <w:autoSpaceDN/>
        <w:bidi w:val="0"/>
        <w:adjustRightInd/>
        <w:snapToGrid/>
        <w:spacing w:line="576" w:lineRule="exact"/>
        <w:ind w:firstLine="5440" w:firstLineChars="17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通市环建字</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20</w:t>
      </w:r>
      <w:r>
        <w:rPr>
          <w:rFonts w:hint="default" w:ascii="Times New Roman" w:hAnsi="Times New Roman" w:eastAsia="仿宋_GB2312" w:cs="Times New Roman"/>
          <w:b w:val="0"/>
          <w:bCs/>
          <w:sz w:val="32"/>
          <w:szCs w:val="32"/>
          <w:lang w:val="en-US" w:eastAsia="zh-CN"/>
        </w:rPr>
        <w:t>26</w:t>
      </w:r>
      <w:r>
        <w:rPr>
          <w:rFonts w:hint="default" w:ascii="Times New Roman" w:hAnsi="Times New Roman" w:eastAsia="仿宋_GB2312" w:cs="Times New Roman"/>
          <w:b w:val="0"/>
          <w:bCs/>
          <w:sz w:val="32"/>
          <w:szCs w:val="32"/>
          <w:lang w:eastAsia="zh-CN"/>
        </w:rPr>
        <w:t>〕</w:t>
      </w:r>
      <w:r>
        <w:rPr>
          <w:rFonts w:hint="eastAsia" w:ascii="Times New Roman" w:hAnsi="Times New Roman" w:eastAsia="仿宋_GB2312" w:cs="Times New Roman"/>
          <w:b w:val="0"/>
          <w:bCs/>
          <w:sz w:val="32"/>
          <w:szCs w:val="32"/>
          <w:lang w:val="en-US" w:eastAsia="zh-CN"/>
        </w:rPr>
        <w:t>4</w:t>
      </w:r>
      <w:r>
        <w:rPr>
          <w:rFonts w:hint="default" w:ascii="Times New Roman" w:hAnsi="Times New Roman" w:eastAsia="仿宋_GB2312" w:cs="Times New Roman"/>
          <w:b w:val="0"/>
          <w:bCs/>
          <w:sz w:val="32"/>
          <w:szCs w:val="32"/>
        </w:rPr>
        <w:t>号</w:t>
      </w:r>
    </w:p>
    <w:p w14:paraId="21AD0F06">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imes New Roman"/>
          <w:b w:val="0"/>
          <w:bCs w:val="0"/>
          <w:sz w:val="32"/>
          <w:szCs w:val="32"/>
        </w:rPr>
      </w:pPr>
    </w:p>
    <w:p w14:paraId="7509C81F">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b w:val="0"/>
          <w:bCs w:val="0"/>
          <w:sz w:val="44"/>
          <w:szCs w:val="44"/>
          <w:highlight w:val="none"/>
          <w:lang w:eastAsia="zh-CN"/>
        </w:rPr>
      </w:pPr>
      <w:r>
        <w:rPr>
          <w:rFonts w:hint="default" w:ascii="Times New Roman" w:hAnsi="Times New Roman" w:eastAsia="方正小标宋简体" w:cs="Times New Roman"/>
          <w:b w:val="0"/>
          <w:bCs w:val="0"/>
          <w:sz w:val="44"/>
          <w:szCs w:val="44"/>
          <w:lang w:val="en-US" w:eastAsia="zh-CN"/>
        </w:rPr>
        <w:t>关于</w:t>
      </w:r>
      <w:r>
        <w:rPr>
          <w:rFonts w:hint="default" w:ascii="Times New Roman" w:hAnsi="Times New Roman" w:eastAsia="方正小标宋简体" w:cs="Times New Roman"/>
          <w:b w:val="0"/>
          <w:bCs w:val="0"/>
          <w:sz w:val="44"/>
          <w:szCs w:val="44"/>
          <w:highlight w:val="none"/>
          <w:lang w:eastAsia="zh-CN"/>
        </w:rPr>
        <w:t>通化市餐厨垃圾协同处置项目</w:t>
      </w:r>
    </w:p>
    <w:p w14:paraId="6794725D">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环境影响报告书的批复</w:t>
      </w:r>
    </w:p>
    <w:p w14:paraId="3CB2B4C7">
      <w:pPr>
        <w:keepNext w:val="0"/>
        <w:keepLines w:val="0"/>
        <w:pageBreakBefore w:val="0"/>
        <w:widowControl w:val="0"/>
        <w:kinsoku/>
        <w:wordWrap/>
        <w:overflowPunct/>
        <w:topLinePunct w:val="0"/>
        <w:autoSpaceDE/>
        <w:autoSpaceDN/>
        <w:bidi w:val="0"/>
        <w:adjustRightInd/>
        <w:snapToGrid/>
        <w:spacing w:line="576" w:lineRule="exact"/>
        <w:ind w:firstLine="4803" w:firstLineChars="1501"/>
        <w:textAlignment w:val="auto"/>
        <w:rPr>
          <w:rFonts w:hint="default" w:ascii="Times New Roman" w:hAnsi="Times New Roman" w:eastAsia="仿宋_GB2312" w:cs="Times New Roman"/>
          <w:b w:val="0"/>
          <w:bCs w:val="0"/>
          <w:sz w:val="32"/>
          <w:szCs w:val="32"/>
          <w:u w:val="none"/>
          <w:lang w:val="en-US" w:eastAsia="zh-CN"/>
        </w:rPr>
      </w:pPr>
    </w:p>
    <w:p w14:paraId="340A8402">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b w:val="0"/>
          <w:bCs w:val="0"/>
          <w:sz w:val="32"/>
          <w:szCs w:val="32"/>
          <w:u w:val="none"/>
          <w:lang w:val="en-US" w:eastAsia="zh-CN"/>
        </w:rPr>
      </w:pPr>
      <w:r>
        <w:rPr>
          <w:rFonts w:hint="default" w:ascii="Times New Roman" w:hAnsi="Times New Roman" w:eastAsia="仿宋_GB2312" w:cs="Times New Roman"/>
          <w:b w:val="0"/>
          <w:bCs w:val="0"/>
          <w:sz w:val="32"/>
          <w:szCs w:val="32"/>
          <w:u w:val="none"/>
          <w:lang w:val="en-US" w:eastAsia="zh-CN"/>
        </w:rPr>
        <w:t>中节能（通化）环保能源有限公司：</w:t>
      </w:r>
    </w:p>
    <w:p w14:paraId="75B439C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lang w:val="en-US" w:eastAsia="zh-CN"/>
        </w:rPr>
      </w:pPr>
      <w:r>
        <w:rPr>
          <w:rFonts w:hint="default" w:ascii="Times New Roman" w:hAnsi="Times New Roman" w:eastAsia="仿宋_GB2312" w:cs="Times New Roman"/>
          <w:b w:val="0"/>
          <w:bCs w:val="0"/>
          <w:sz w:val="32"/>
          <w:szCs w:val="32"/>
          <w:u w:val="none"/>
          <w:lang w:val="en-US" w:eastAsia="zh-CN"/>
        </w:rPr>
        <w:t>你单位《关于&lt;通化市餐厨垃圾协同处置项目环境影响报告书&gt;审批申请》及委托吉林省卓月环境工程有限公司编制的环境影响报告书（报批版）收悉。经研究，现批复如下：</w:t>
      </w:r>
    </w:p>
    <w:p w14:paraId="7CF8A9AE">
      <w:pPr>
        <w:keepNext w:val="0"/>
        <w:keepLines w:val="0"/>
        <w:pageBreakBefore w:val="0"/>
        <w:widowControl w:val="0"/>
        <w:numPr>
          <w:ilvl w:val="0"/>
          <w:numId w:val="0"/>
        </w:numPr>
        <w:kinsoku/>
        <w:wordWrap/>
        <w:overflowPunct/>
        <w:topLinePunct w:val="0"/>
        <w:autoSpaceDE/>
        <w:autoSpaceDN/>
        <w:bidi w:val="0"/>
        <w:adjustRightInd w:val="0"/>
        <w:snapToGrid/>
        <w:spacing w:line="576" w:lineRule="exact"/>
        <w:ind w:firstLine="640" w:firstLineChars="200"/>
        <w:textAlignment w:val="auto"/>
        <w:rPr>
          <w:rFonts w:hint="default" w:ascii="Times New Roman" w:hAnsi="Times New Roman" w:eastAsia="仿宋_GB2312" w:cs="Times New Roman"/>
          <w:color w:val="auto"/>
          <w:sz w:val="32"/>
          <w:szCs w:val="32"/>
          <w:u w:val="none"/>
        </w:rPr>
      </w:pPr>
      <w:r>
        <w:rPr>
          <w:rFonts w:hint="eastAsia" w:ascii="黑体" w:hAnsi="黑体" w:eastAsia="黑体" w:cs="黑体"/>
          <w:sz w:val="32"/>
          <w:szCs w:val="32"/>
          <w:lang w:val="en-US" w:eastAsia="zh-CN"/>
        </w:rPr>
        <w:t>一、</w:t>
      </w:r>
      <w:r>
        <w:rPr>
          <w:rFonts w:hint="default" w:ascii="Times New Roman" w:hAnsi="Times New Roman" w:eastAsia="仿宋_GB2312" w:cs="Times New Roman"/>
          <w:b w:val="0"/>
          <w:bCs w:val="0"/>
          <w:sz w:val="32"/>
          <w:szCs w:val="32"/>
          <w:u w:val="none"/>
          <w:lang w:val="en-US" w:eastAsia="zh-CN"/>
        </w:rPr>
        <w:t>该项目为扩建项目，建设地点</w:t>
      </w:r>
      <w:r>
        <w:rPr>
          <w:rFonts w:hint="default" w:ascii="Times New Roman" w:hAnsi="Times New Roman" w:eastAsia="仿宋_GB2312" w:cs="Times New Roman"/>
          <w:sz w:val="32"/>
          <w:szCs w:val="32"/>
          <w:u w:val="none"/>
        </w:rPr>
        <w:t>位于通化市二道江区东山路</w:t>
      </w:r>
      <w:r>
        <w:rPr>
          <w:rFonts w:hint="default" w:ascii="Times New Roman" w:hAnsi="Times New Roman" w:eastAsia="仿宋_GB2312" w:cs="Times New Roman"/>
          <w:sz w:val="32"/>
          <w:szCs w:val="32"/>
          <w:u w:val="none"/>
          <w:lang w:val="en-US" w:eastAsia="zh-CN"/>
        </w:rPr>
        <w:t>1888号</w:t>
      </w:r>
      <w:r>
        <w:rPr>
          <w:rFonts w:hint="default" w:ascii="Times New Roman" w:hAnsi="Times New Roman" w:eastAsia="仿宋_GB2312" w:cs="Times New Roman"/>
          <w:sz w:val="32"/>
          <w:szCs w:val="32"/>
          <w:u w:val="none"/>
        </w:rPr>
        <w:t>，中节能（通化）环保能源有限公司现有厂区内。</w:t>
      </w:r>
      <w:r>
        <w:rPr>
          <w:rFonts w:hint="default" w:ascii="Times New Roman" w:hAnsi="Times New Roman" w:eastAsia="仿宋_GB2312" w:cs="Times New Roman"/>
          <w:sz w:val="32"/>
          <w:szCs w:val="32"/>
          <w:u w:val="none"/>
          <w:lang w:val="en-US" w:eastAsia="zh-CN"/>
        </w:rPr>
        <w:t>项目无新增占地，</w:t>
      </w:r>
      <w:r>
        <w:rPr>
          <w:rFonts w:hint="default" w:ascii="Times New Roman" w:hAnsi="Times New Roman" w:eastAsia="仿宋_GB2312" w:cs="Times New Roman"/>
          <w:sz w:val="32"/>
          <w:szCs w:val="32"/>
          <w:u w:val="none"/>
        </w:rPr>
        <w:t>厂界东侧为闲置空地，南侧隔龙山路为巨源实业公司，西侧为空地及林地，北侧为林地</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bCs/>
          <w:iCs/>
          <w:sz w:val="32"/>
          <w:szCs w:val="32"/>
          <w:u w:val="none"/>
        </w:rPr>
        <w:t>项目组成包括主体工程、储运工程、公用工程和环保工程。主要建设内容为建设1条处理规模为50t/d的餐厨垃圾处理线，包括餐厨垃圾预处理系统、厌氧消化系统、沼气入炉焚烧系统、沼渣脱水系统、沼气应急火炬、臭气收集系统和配套工程</w:t>
      </w:r>
      <w:r>
        <w:rPr>
          <w:rFonts w:hint="default" w:ascii="Times New Roman" w:hAnsi="Times New Roman" w:eastAsia="仿宋_GB2312" w:cs="Times New Roman"/>
          <w:bCs/>
          <w:iCs/>
          <w:sz w:val="32"/>
          <w:szCs w:val="32"/>
          <w:u w:val="none"/>
          <w:lang w:val="en-US" w:eastAsia="zh-CN"/>
        </w:rPr>
        <w:t>等</w:t>
      </w:r>
      <w:r>
        <w:rPr>
          <w:rFonts w:hint="default" w:ascii="Times New Roman" w:hAnsi="Times New Roman" w:eastAsia="仿宋_GB2312" w:cs="Times New Roman"/>
          <w:bCs/>
          <w:iCs/>
          <w:sz w:val="32"/>
          <w:szCs w:val="32"/>
          <w:u w:val="none"/>
        </w:rPr>
        <w:t>。</w:t>
      </w:r>
      <w:r>
        <w:rPr>
          <w:rFonts w:hint="default" w:ascii="Times New Roman" w:hAnsi="Times New Roman" w:eastAsia="仿宋_GB2312" w:cs="Times New Roman"/>
          <w:sz w:val="32"/>
          <w:szCs w:val="32"/>
          <w:u w:val="none"/>
        </w:rPr>
        <w:t>其他公用、储运等均依托厂区现有工程。</w:t>
      </w:r>
    </w:p>
    <w:p w14:paraId="44955E52">
      <w:pPr>
        <w:pStyle w:val="15"/>
        <w:keepNext w:val="0"/>
        <w:keepLines w:val="0"/>
        <w:pageBreakBefore w:val="0"/>
        <w:widowControl w:val="0"/>
        <w:kinsoku/>
        <w:wordWrap/>
        <w:overflowPunct/>
        <w:topLinePunct w:val="0"/>
        <w:autoSpaceDE/>
        <w:autoSpaceDN/>
        <w:bidi w:val="0"/>
        <w:snapToGrid/>
        <w:spacing w:line="576" w:lineRule="exact"/>
        <w:ind w:left="0" w:leftChars="0" w:right="0" w:rightChars="0" w:firstLine="640" w:firstLineChars="200"/>
        <w:jc w:val="both"/>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color w:val="auto"/>
          <w:sz w:val="32"/>
          <w:szCs w:val="32"/>
          <w:u w:val="none"/>
          <w:lang w:val="en-US" w:eastAsia="zh-CN"/>
        </w:rPr>
        <w:t>本</w:t>
      </w:r>
      <w:r>
        <w:rPr>
          <w:rFonts w:hint="default" w:ascii="Times New Roman" w:hAnsi="Times New Roman" w:eastAsia="仿宋_GB2312" w:cs="Times New Roman"/>
          <w:color w:val="auto"/>
          <w:sz w:val="32"/>
          <w:szCs w:val="32"/>
          <w:u w:val="none"/>
        </w:rPr>
        <w:t>项目</w:t>
      </w:r>
      <w:r>
        <w:rPr>
          <w:rFonts w:hint="eastAsia" w:ascii="Times New Roman" w:hAnsi="Times New Roman" w:eastAsia="仿宋_GB2312" w:cs="Times New Roman"/>
          <w:color w:val="auto"/>
          <w:sz w:val="32"/>
          <w:szCs w:val="32"/>
          <w:u w:val="none"/>
        </w:rPr>
        <w:t>属于</w:t>
      </w:r>
      <w:r>
        <w:rPr>
          <w:rFonts w:hint="eastAsia" w:ascii="Times New Roman" w:hAnsi="Times New Roman" w:eastAsia="仿宋_GB2312" w:cs="Times New Roman"/>
          <w:color w:val="auto"/>
          <w:sz w:val="32"/>
          <w:szCs w:val="32"/>
          <w:u w:val="none"/>
          <w:lang w:eastAsia="zh-CN"/>
        </w:rPr>
        <w:t>餐厨垃圾处理</w:t>
      </w:r>
      <w:r>
        <w:rPr>
          <w:rFonts w:hint="eastAsia" w:ascii="Times New Roman" w:hAnsi="Times New Roman" w:eastAsia="仿宋_GB2312" w:cs="Times New Roman"/>
          <w:color w:val="auto"/>
          <w:sz w:val="32"/>
          <w:szCs w:val="32"/>
          <w:u w:val="none"/>
        </w:rPr>
        <w:t>项目</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符合国家产业政策。</w:t>
      </w:r>
      <w:r>
        <w:rPr>
          <w:rFonts w:hint="default" w:ascii="Times New Roman" w:hAnsi="Times New Roman" w:eastAsia="仿宋_GB2312" w:cs="Times New Roman"/>
          <w:color w:val="auto"/>
          <w:sz w:val="32"/>
          <w:szCs w:val="32"/>
          <w:u w:val="none"/>
          <w:lang w:val="en-US" w:eastAsia="zh-CN"/>
        </w:rPr>
        <w:t>符合</w:t>
      </w:r>
      <w:r>
        <w:rPr>
          <w:rFonts w:hint="default" w:ascii="Times New Roman" w:hAnsi="Times New Roman" w:eastAsia="仿宋_GB2312" w:cs="Times New Roman"/>
          <w:color w:val="auto"/>
          <w:sz w:val="32"/>
          <w:szCs w:val="32"/>
          <w:u w:val="none"/>
        </w:rPr>
        <w:t>吉林省、通化市生态环境分区管控和准入清单要求。建设单位在运营过程须严格落实报告书提出的各项污染防治和环境风险防范措施并及时修编突发环境事件应急预案，</w:t>
      </w:r>
      <w:r>
        <w:rPr>
          <w:rFonts w:hint="default" w:ascii="Times New Roman" w:hAnsi="Times New Roman" w:eastAsia="仿宋_GB2312" w:cs="Times New Roman"/>
          <w:color w:val="auto"/>
          <w:sz w:val="32"/>
          <w:szCs w:val="32"/>
          <w:highlight w:val="none"/>
        </w:rPr>
        <w:t>在确保各种污染物排放满足相关法律、法规和标准</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总量控制指标</w:t>
      </w:r>
      <w:r>
        <w:rPr>
          <w:rFonts w:hint="default" w:ascii="Times New Roman" w:hAnsi="Times New Roman" w:eastAsia="仿宋_GB2312" w:cs="Times New Roman"/>
          <w:color w:val="auto"/>
          <w:sz w:val="32"/>
          <w:szCs w:val="32"/>
          <w:highlight w:val="none"/>
        </w:rPr>
        <w:t>要求</w:t>
      </w:r>
      <w:r>
        <w:rPr>
          <w:rFonts w:hint="default" w:ascii="Times New Roman" w:hAnsi="Times New Roman" w:eastAsia="仿宋_GB2312" w:cs="Times New Roman"/>
          <w:color w:val="auto"/>
          <w:sz w:val="32"/>
          <w:szCs w:val="32"/>
          <w:highlight w:val="none"/>
          <w:lang w:eastAsia="zh-CN"/>
        </w:rPr>
        <w:t>、环境风险可控</w:t>
      </w:r>
      <w:r>
        <w:rPr>
          <w:rFonts w:hint="default" w:ascii="Times New Roman" w:hAnsi="Times New Roman" w:eastAsia="仿宋_GB2312" w:cs="Times New Roman"/>
          <w:color w:val="auto"/>
          <w:sz w:val="32"/>
          <w:szCs w:val="32"/>
          <w:highlight w:val="none"/>
        </w:rPr>
        <w:t>的前提下，</w:t>
      </w:r>
      <w:r>
        <w:rPr>
          <w:rFonts w:hint="default" w:ascii="Times New Roman" w:hAnsi="Times New Roman" w:eastAsia="仿宋_GB2312" w:cs="Times New Roman"/>
          <w:sz w:val="32"/>
          <w:szCs w:val="32"/>
          <w:highlight w:val="none"/>
          <w:lang w:val="en-US" w:eastAsia="zh-CN"/>
        </w:rPr>
        <w:t>我局原则同意环境影响报告书中所列建设项目的性质、规模、工艺和拟采取的生态环境保护措施。</w:t>
      </w:r>
    </w:p>
    <w:p w14:paraId="2DBD0A85">
      <w:pPr>
        <w:keepNext w:val="0"/>
        <w:keepLines w:val="0"/>
        <w:pageBreakBefore w:val="0"/>
        <w:kinsoku/>
        <w:wordWrap/>
        <w:overflowPunct/>
        <w:topLinePunct w:val="0"/>
        <w:autoSpaceDE/>
        <w:autoSpaceDN/>
        <w:bidi w:val="0"/>
        <w:adjustRightInd w:val="0"/>
        <w:snapToGrid/>
        <w:spacing w:line="576" w:lineRule="exact"/>
        <w:ind w:firstLine="640"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二、项目施工期和运营期应重点做好以下生态环境保护工作</w:t>
      </w:r>
    </w:p>
    <w:p w14:paraId="67D0E259">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bCs/>
          <w:iCs/>
          <w:kern w:val="0"/>
          <w:sz w:val="32"/>
          <w:szCs w:val="32"/>
          <w:u w:val="none"/>
          <w:lang w:val="zh-CN"/>
        </w:rPr>
        <w:t>（</w:t>
      </w:r>
      <w:r>
        <w:rPr>
          <w:rFonts w:hint="default" w:ascii="Times New Roman" w:hAnsi="Times New Roman" w:eastAsia="仿宋_GB2312" w:cs="Times New Roman"/>
          <w:bCs/>
          <w:iCs/>
          <w:kern w:val="0"/>
          <w:sz w:val="32"/>
          <w:szCs w:val="32"/>
          <w:u w:val="none"/>
        </w:rPr>
        <w:t>一</w:t>
      </w:r>
      <w:r>
        <w:rPr>
          <w:rFonts w:hint="default" w:ascii="Times New Roman" w:hAnsi="Times New Roman" w:eastAsia="仿宋_GB2312" w:cs="Times New Roman"/>
          <w:bCs/>
          <w:iCs/>
          <w:kern w:val="0"/>
          <w:sz w:val="32"/>
          <w:szCs w:val="32"/>
          <w:u w:val="none"/>
          <w:lang w:val="zh-CN"/>
        </w:rPr>
        <w:t>）</w:t>
      </w:r>
      <w:r>
        <w:rPr>
          <w:rFonts w:hint="default" w:ascii="Times New Roman" w:hAnsi="Times New Roman" w:eastAsia="仿宋_GB2312" w:cs="Times New Roman"/>
          <w:kern w:val="0"/>
          <w:sz w:val="32"/>
          <w:szCs w:val="32"/>
          <w:u w:val="none"/>
          <w:lang w:val="zh-CN"/>
        </w:rPr>
        <w:t>严格落实大气污染防治措施。</w:t>
      </w:r>
      <w:r>
        <w:rPr>
          <w:rFonts w:hint="default" w:ascii="Times New Roman" w:hAnsi="Times New Roman" w:eastAsia="仿宋_GB2312" w:cs="Times New Roman"/>
          <w:sz w:val="32"/>
          <w:szCs w:val="32"/>
          <w:u w:val="none"/>
          <w:lang w:eastAsia="zh-CN"/>
        </w:rPr>
        <w:t>餐厨垃圾预处理车间</w:t>
      </w:r>
      <w:r>
        <w:rPr>
          <w:rFonts w:hint="default" w:ascii="Times New Roman" w:hAnsi="Times New Roman" w:eastAsia="仿宋_GB2312" w:cs="Times New Roman"/>
          <w:sz w:val="32"/>
          <w:szCs w:val="32"/>
          <w:u w:val="none"/>
        </w:rPr>
        <w:t>及卸料大厅废气须分别经负压收集，再经离心风机加压后，经管道输送至焚烧炉作为一次助燃空气焚烧处理。厌氧消化罐须采用全密闭结构，废气须经负压收集，再经管道输送至焚烧炉焚烧处理。在焚烧炉全停的极端情况下，须切换至现有应急火炬燃烧处理。</w:t>
      </w:r>
    </w:p>
    <w:p w14:paraId="1270878E">
      <w:pPr>
        <w:pStyle w:val="13"/>
        <w:keepNext w:val="0"/>
        <w:keepLines w:val="0"/>
        <w:pageBreakBefore w:val="0"/>
        <w:kinsoku/>
        <w:wordWrap/>
        <w:overflowPunct/>
        <w:topLinePunct w:val="0"/>
        <w:autoSpaceDE/>
        <w:autoSpaceDN/>
        <w:bidi w:val="0"/>
        <w:spacing w:line="576" w:lineRule="exact"/>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kern w:val="0"/>
          <w:sz w:val="32"/>
          <w:szCs w:val="32"/>
          <w:u w:val="none"/>
        </w:rPr>
        <w:t>须采取对</w:t>
      </w:r>
      <w:r>
        <w:rPr>
          <w:rFonts w:hint="default" w:ascii="Times New Roman" w:hAnsi="Times New Roman" w:eastAsia="仿宋_GB2312" w:cs="Times New Roman"/>
          <w:sz w:val="32"/>
          <w:szCs w:val="32"/>
          <w:u w:val="none"/>
        </w:rPr>
        <w:t>生产车间进行密闭；加强对设备及管道的维护，确保生产装置正常运行，减少跑、冒、滴、漏等现象发生；加强厂区周围绿化等</w:t>
      </w:r>
      <w:r>
        <w:rPr>
          <w:rFonts w:hint="default" w:ascii="Times New Roman" w:hAnsi="Times New Roman" w:eastAsia="仿宋_GB2312" w:cs="Times New Roman"/>
          <w:sz w:val="32"/>
          <w:szCs w:val="32"/>
          <w:u w:val="none"/>
          <w:lang w:val="en-US" w:eastAsia="zh-CN"/>
        </w:rPr>
        <w:t>措施</w:t>
      </w:r>
      <w:r>
        <w:rPr>
          <w:rFonts w:hint="default" w:ascii="Times New Roman" w:hAnsi="Times New Roman" w:eastAsia="仿宋_GB2312" w:cs="Times New Roman"/>
          <w:sz w:val="32"/>
          <w:szCs w:val="32"/>
          <w:u w:val="none"/>
        </w:rPr>
        <w:t>。确保H</w:t>
      </w:r>
      <w:r>
        <w:rPr>
          <w:rFonts w:hint="default" w:ascii="Times New Roman" w:hAnsi="Times New Roman" w:eastAsia="仿宋_GB2312" w:cs="Times New Roman"/>
          <w:sz w:val="32"/>
          <w:szCs w:val="32"/>
          <w:u w:val="none"/>
          <w:vertAlign w:val="subscript"/>
        </w:rPr>
        <w:t>2</w:t>
      </w:r>
      <w:r>
        <w:rPr>
          <w:rFonts w:hint="default" w:ascii="Times New Roman" w:hAnsi="Times New Roman" w:eastAsia="仿宋_GB2312" w:cs="Times New Roman"/>
          <w:sz w:val="32"/>
          <w:szCs w:val="32"/>
          <w:u w:val="none"/>
        </w:rPr>
        <w:t>S、NH</w:t>
      </w:r>
      <w:r>
        <w:rPr>
          <w:rFonts w:hint="default" w:ascii="Times New Roman" w:hAnsi="Times New Roman" w:eastAsia="仿宋_GB2312" w:cs="Times New Roman"/>
          <w:sz w:val="32"/>
          <w:szCs w:val="32"/>
          <w:u w:val="none"/>
          <w:vertAlign w:val="subscript"/>
        </w:rPr>
        <w:t>3</w:t>
      </w:r>
      <w:r>
        <w:rPr>
          <w:rFonts w:hint="default" w:ascii="Times New Roman" w:hAnsi="Times New Roman" w:eastAsia="仿宋_GB2312" w:cs="Times New Roman"/>
          <w:sz w:val="32"/>
          <w:szCs w:val="32"/>
          <w:u w:val="none"/>
        </w:rPr>
        <w:t>排放浓度和臭气浓度满足《恶臭污染物排放标准》（GB14554-93）表1中厂界浓度限值要求</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非甲烷总烃排放浓度满足《大气污染物综合排放标准》（GB16297-1996）表2中二级排放限值要求。</w:t>
      </w:r>
    </w:p>
    <w:p w14:paraId="1DD616D2">
      <w:pPr>
        <w:keepNext w:val="0"/>
        <w:keepLines w:val="0"/>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bCs/>
          <w:sz w:val="32"/>
          <w:szCs w:val="32"/>
          <w:u w:val="none"/>
        </w:rPr>
      </w:pPr>
      <w:r>
        <w:rPr>
          <w:rFonts w:hint="default" w:ascii="Times New Roman" w:hAnsi="Times New Roman" w:eastAsia="仿宋_GB2312" w:cs="Times New Roman"/>
          <w:bCs/>
          <w:iCs/>
          <w:sz w:val="32"/>
          <w:szCs w:val="32"/>
          <w:u w:val="none"/>
        </w:rPr>
        <w:t>（二）严格落实地表水污染防治措施</w:t>
      </w:r>
      <w:r>
        <w:rPr>
          <w:rFonts w:hint="default" w:ascii="Times New Roman" w:hAnsi="Times New Roman" w:eastAsia="仿宋_GB2312" w:cs="Times New Roman"/>
          <w:bCs/>
          <w:iCs/>
          <w:sz w:val="32"/>
          <w:szCs w:val="32"/>
          <w:u w:val="none"/>
          <w:lang w:val="zh-CN"/>
        </w:rPr>
        <w:t>。</w:t>
      </w:r>
      <w:r>
        <w:rPr>
          <w:rFonts w:hint="default" w:ascii="Times New Roman" w:hAnsi="Times New Roman" w:eastAsia="仿宋_GB2312" w:cs="Times New Roman"/>
          <w:sz w:val="32"/>
          <w:szCs w:val="32"/>
          <w:u w:val="none"/>
        </w:rPr>
        <w:t>运营期产生的</w:t>
      </w:r>
      <w:r>
        <w:rPr>
          <w:rFonts w:hint="default" w:ascii="Times New Roman" w:hAnsi="Times New Roman" w:eastAsia="仿宋_GB2312" w:cs="Times New Roman"/>
          <w:sz w:val="32"/>
          <w:szCs w:val="32"/>
          <w:u w:val="none"/>
          <w:lang w:val="en-US" w:eastAsia="zh-CN"/>
        </w:rPr>
        <w:t>车辆、</w:t>
      </w:r>
      <w:r>
        <w:rPr>
          <w:rFonts w:hint="default" w:ascii="Times New Roman" w:hAnsi="Times New Roman" w:eastAsia="仿宋_GB2312" w:cs="Times New Roman"/>
          <w:sz w:val="32"/>
          <w:szCs w:val="32"/>
          <w:u w:val="none"/>
        </w:rPr>
        <w:t>设备、车间地面清洗废水、餐厨垃圾渗滤液须同厂区现有生活垃圾渗滤液一并排入渗滤液处理站处理，出水水质总Hg、总Cr、总Cd、总As、总Pb和Cr6+等污染物浓度满足《生活垃圾填埋场污染控制标准》（GB16889-20</w:t>
      </w:r>
      <w:r>
        <w:rPr>
          <w:rFonts w:hint="default" w:ascii="Times New Roman" w:hAnsi="Times New Roman" w:eastAsia="仿宋_GB2312" w:cs="Times New Roman"/>
          <w:sz w:val="32"/>
          <w:szCs w:val="32"/>
          <w:u w:val="none"/>
          <w:lang w:val="en-US" w:eastAsia="zh-CN"/>
        </w:rPr>
        <w:t>24</w:t>
      </w:r>
      <w:r>
        <w:rPr>
          <w:rFonts w:hint="default" w:ascii="Times New Roman" w:hAnsi="Times New Roman" w:eastAsia="仿宋_GB2312" w:cs="Times New Roman"/>
          <w:sz w:val="32"/>
          <w:szCs w:val="32"/>
          <w:u w:val="none"/>
        </w:rPr>
        <w:t>）表</w:t>
      </w:r>
      <w:r>
        <w:rPr>
          <w:rFonts w:hint="default" w:ascii="Times New Roman" w:hAnsi="Times New Roman" w:eastAsia="仿宋_GB2312" w:cs="Times New Roman"/>
          <w:sz w:val="32"/>
          <w:szCs w:val="32"/>
          <w:u w:val="none"/>
          <w:lang w:val="en-US" w:eastAsia="zh-CN"/>
        </w:rPr>
        <w:t>4</w:t>
      </w:r>
      <w:r>
        <w:rPr>
          <w:rFonts w:hint="default" w:ascii="Times New Roman" w:hAnsi="Times New Roman" w:eastAsia="仿宋_GB2312" w:cs="Times New Roman"/>
          <w:sz w:val="32"/>
          <w:szCs w:val="32"/>
          <w:u w:val="none"/>
        </w:rPr>
        <w:t>中标准要</w:t>
      </w:r>
      <w:r>
        <w:rPr>
          <w:rFonts w:hint="default" w:ascii="Times New Roman" w:hAnsi="Times New Roman" w:eastAsia="仿宋_GB2312" w:cs="Times New Roman"/>
          <w:sz w:val="32"/>
          <w:szCs w:val="32"/>
          <w:u w:val="none"/>
          <w:lang w:val="en-US" w:eastAsia="zh-CN"/>
        </w:rPr>
        <w:t>求，其他污染物浓度</w:t>
      </w:r>
      <w:r>
        <w:rPr>
          <w:rFonts w:hint="default" w:ascii="Times New Roman" w:hAnsi="Times New Roman" w:eastAsia="仿宋_GB2312" w:cs="Times New Roman"/>
          <w:sz w:val="32"/>
          <w:szCs w:val="32"/>
          <w:u w:val="none"/>
        </w:rPr>
        <w:t>满足《污水综合排放标准》（GB 8978-1996）表4中三级标准及企业与通化市二道江净源污水处理厂签订的进水水质标准要求，再与经化粪池预处理后的生活污水一并排入该污水处理厂处理</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水质满足《城镇污水处理厂污染物排放标准》（GB18918-2002）中一级A标准后，排入浑江。</w:t>
      </w:r>
    </w:p>
    <w:p w14:paraId="6BEE5E51">
      <w:pPr>
        <w:pStyle w:val="13"/>
        <w:keepNext w:val="0"/>
        <w:keepLines w:val="0"/>
        <w:pageBreakBefore w:val="0"/>
        <w:kinsoku/>
        <w:wordWrap/>
        <w:overflowPunct/>
        <w:topLinePunct w:val="0"/>
        <w:autoSpaceDE/>
        <w:autoSpaceDN/>
        <w:bidi w:val="0"/>
        <w:spacing w:line="576" w:lineRule="exact"/>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（三）严格落实固体废物污染防治措施，妥善处理/处置运营期产生的各种固体废物。粗油脂须外售给有资质的单位进行资源化利用，不得用于制作饲料或食品加工</w:t>
      </w:r>
      <w:r>
        <w:rPr>
          <w:rFonts w:hint="default" w:ascii="Times New Roman" w:hAnsi="Times New Roman" w:eastAsia="仿宋_GB2312" w:cs="Times New Roman"/>
          <w:sz w:val="32"/>
          <w:szCs w:val="32"/>
          <w:u w:val="none"/>
          <w:lang w:val="en-US" w:eastAsia="zh-CN"/>
        </w:rPr>
        <w:t>等</w:t>
      </w:r>
      <w:r>
        <w:rPr>
          <w:rFonts w:hint="default" w:ascii="Times New Roman" w:hAnsi="Times New Roman" w:eastAsia="仿宋_GB2312" w:cs="Times New Roman"/>
          <w:sz w:val="32"/>
          <w:szCs w:val="32"/>
          <w:u w:val="none"/>
        </w:rPr>
        <w:t>；预处理杂质、污泥固渣和生活垃圾收集后</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须依托厂区现有生活垃圾处理设施处理；三相分离固渣收集后</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须依托现有焚烧炉进行焚烧处理；废机油属于危险废物，</w:t>
      </w:r>
      <w:r>
        <w:rPr>
          <w:rFonts w:hint="default" w:ascii="Times New Roman" w:hAnsi="Times New Roman" w:eastAsia="仿宋_GB2312" w:cs="Times New Roman"/>
          <w:sz w:val="32"/>
          <w:szCs w:val="32"/>
          <w:u w:val="none"/>
          <w:lang w:val="en-US" w:eastAsia="zh-CN"/>
        </w:rPr>
        <w:t>暂存于危险废物贮存库，</w:t>
      </w:r>
      <w:r>
        <w:rPr>
          <w:rFonts w:hint="default" w:ascii="Times New Roman" w:hAnsi="Times New Roman" w:eastAsia="仿宋_GB2312" w:cs="Times New Roman"/>
          <w:sz w:val="32"/>
          <w:szCs w:val="32"/>
          <w:u w:val="none"/>
        </w:rPr>
        <w:t>须委托有相应处理资质的单位进行处置；危险废物在贮存、转移、运输过程中须严格执行《危险废物贮存污染控制标准》（GB 18597-2023）和《危险废物转移管理办法》要求，防止危险废物无序外排，污染环境。</w:t>
      </w:r>
    </w:p>
    <w:p w14:paraId="72B192EB">
      <w:pPr>
        <w:keepNext w:val="0"/>
        <w:keepLines w:val="0"/>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bCs/>
          <w:kern w:val="0"/>
          <w:sz w:val="32"/>
          <w:szCs w:val="32"/>
          <w:u w:val="none"/>
          <w:lang w:eastAsia="zh-CN"/>
        </w:rPr>
      </w:pPr>
      <w:r>
        <w:rPr>
          <w:rFonts w:hint="default" w:ascii="Times New Roman" w:hAnsi="Times New Roman" w:eastAsia="仿宋_GB2312" w:cs="Times New Roman"/>
          <w:bCs/>
          <w:sz w:val="32"/>
          <w:szCs w:val="32"/>
          <w:u w:val="none"/>
        </w:rPr>
        <w:t>（四）</w:t>
      </w:r>
      <w:r>
        <w:rPr>
          <w:rFonts w:hint="default" w:ascii="Times New Roman" w:hAnsi="Times New Roman" w:eastAsia="仿宋_GB2312" w:cs="Times New Roman"/>
          <w:bCs/>
          <w:kern w:val="0"/>
          <w:sz w:val="32"/>
          <w:szCs w:val="32"/>
          <w:u w:val="none"/>
        </w:rPr>
        <w:t>严格落实地下水、土壤污染防治措施。强化对生产装置区等地</w:t>
      </w:r>
      <w:r>
        <w:rPr>
          <w:rFonts w:hint="eastAsia" w:ascii="Times New Roman" w:hAnsi="Times New Roman" w:eastAsia="仿宋_GB2312" w:cs="Times New Roman"/>
          <w:bCs/>
          <w:kern w:val="0"/>
          <w:sz w:val="32"/>
          <w:szCs w:val="32"/>
          <w:u w:val="none"/>
          <w:lang w:eastAsia="zh-CN"/>
        </w:rPr>
        <w:t>（</w:t>
      </w:r>
      <w:r>
        <w:rPr>
          <w:rFonts w:hint="default" w:ascii="Times New Roman" w:hAnsi="Times New Roman" w:eastAsia="仿宋_GB2312" w:cs="Times New Roman"/>
          <w:bCs/>
          <w:kern w:val="0"/>
          <w:sz w:val="32"/>
          <w:szCs w:val="32"/>
          <w:u w:val="none"/>
        </w:rPr>
        <w:t>侧</w:t>
      </w:r>
      <w:r>
        <w:rPr>
          <w:rFonts w:hint="eastAsia" w:ascii="Times New Roman" w:hAnsi="Times New Roman" w:eastAsia="仿宋_GB2312" w:cs="Times New Roman"/>
          <w:bCs/>
          <w:kern w:val="0"/>
          <w:sz w:val="32"/>
          <w:szCs w:val="32"/>
          <w:u w:val="none"/>
          <w:lang w:eastAsia="zh-CN"/>
        </w:rPr>
        <w:t>）</w:t>
      </w:r>
      <w:r>
        <w:rPr>
          <w:rFonts w:hint="default" w:ascii="Times New Roman" w:hAnsi="Times New Roman" w:eastAsia="仿宋_GB2312" w:cs="Times New Roman"/>
          <w:bCs/>
          <w:kern w:val="0"/>
          <w:sz w:val="32"/>
          <w:szCs w:val="32"/>
          <w:u w:val="none"/>
        </w:rPr>
        <w:t>面防渗设施的维护和巡检，及时增补措施，确保达到分区防渗要求；及时收集地面上的污染物并定期集中处理；制定地下水、土壤跟踪监测计划，建立跟踪监测制度，合理布置地下水监测井及土壤监测点位，防止污染地下水、土壤环境</w:t>
      </w:r>
      <w:r>
        <w:rPr>
          <w:rFonts w:hint="default" w:ascii="Times New Roman" w:hAnsi="Times New Roman" w:eastAsia="仿宋_GB2312" w:cs="Times New Roman"/>
          <w:bCs/>
          <w:kern w:val="0"/>
          <w:sz w:val="32"/>
          <w:szCs w:val="32"/>
          <w:u w:val="none"/>
          <w:lang w:eastAsia="zh-CN"/>
        </w:rPr>
        <w:t>。</w:t>
      </w:r>
    </w:p>
    <w:p w14:paraId="1ED4F7AB">
      <w:pPr>
        <w:keepNext w:val="0"/>
        <w:keepLines w:val="0"/>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Cs/>
          <w:sz w:val="32"/>
          <w:szCs w:val="32"/>
          <w:u w:val="none"/>
        </w:rPr>
        <w:t>（</w:t>
      </w:r>
      <w:r>
        <w:rPr>
          <w:rFonts w:hint="default" w:ascii="Times New Roman" w:hAnsi="Times New Roman" w:eastAsia="仿宋_GB2312" w:cs="Times New Roman"/>
          <w:bCs/>
          <w:sz w:val="32"/>
          <w:szCs w:val="32"/>
          <w:u w:val="none"/>
          <w:lang w:val="en-US" w:eastAsia="zh-CN"/>
        </w:rPr>
        <w:t>五</w:t>
      </w:r>
      <w:r>
        <w:rPr>
          <w:rFonts w:hint="default" w:ascii="Times New Roman" w:hAnsi="Times New Roman" w:eastAsia="仿宋_GB2312" w:cs="Times New Roman"/>
          <w:bCs/>
          <w:sz w:val="32"/>
          <w:szCs w:val="32"/>
          <w:u w:val="none"/>
        </w:rPr>
        <w:t>）运营期高噪声设备须采取隔声、减振等降噪措施，确保厂界噪声满足</w:t>
      </w:r>
      <w:r>
        <w:rPr>
          <w:rFonts w:hint="default" w:ascii="Times New Roman" w:hAnsi="Times New Roman" w:eastAsia="仿宋_GB2312" w:cs="Times New Roman"/>
          <w:bCs/>
          <w:iCs/>
          <w:sz w:val="32"/>
          <w:szCs w:val="32"/>
          <w:u w:val="none"/>
        </w:rPr>
        <w:t>《工业企业厂界环境噪声排放标准》（GB12348-2008）中2类区标准要求</w:t>
      </w:r>
      <w:r>
        <w:rPr>
          <w:rFonts w:hint="default" w:ascii="Times New Roman" w:hAnsi="Times New Roman" w:eastAsia="仿宋_GB2312" w:cs="Times New Roman"/>
          <w:bCs/>
          <w:sz w:val="32"/>
          <w:szCs w:val="32"/>
          <w:u w:val="none"/>
        </w:rPr>
        <w:t>。</w:t>
      </w:r>
    </w:p>
    <w:p w14:paraId="6D53E202">
      <w:pPr>
        <w:keepNext w:val="0"/>
        <w:keepLines w:val="0"/>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bCs/>
          <w:kern w:val="0"/>
          <w:sz w:val="32"/>
          <w:szCs w:val="32"/>
          <w:u w:val="none"/>
        </w:rPr>
      </w:pPr>
      <w:r>
        <w:rPr>
          <w:rFonts w:hint="default" w:ascii="Times New Roman" w:hAnsi="Times New Roman" w:eastAsia="仿宋_GB2312" w:cs="Times New Roman"/>
          <w:bCs/>
          <w:sz w:val="32"/>
          <w:szCs w:val="32"/>
          <w:u w:val="none"/>
        </w:rPr>
        <w:t>（</w:t>
      </w:r>
      <w:r>
        <w:rPr>
          <w:rFonts w:hint="default" w:ascii="Times New Roman" w:hAnsi="Times New Roman" w:eastAsia="仿宋_GB2312" w:cs="Times New Roman"/>
          <w:bCs/>
          <w:sz w:val="32"/>
          <w:szCs w:val="32"/>
          <w:u w:val="none"/>
          <w:lang w:val="en-US" w:eastAsia="zh-CN"/>
        </w:rPr>
        <w:t>六</w:t>
      </w:r>
      <w:r>
        <w:rPr>
          <w:rFonts w:hint="default" w:ascii="Times New Roman" w:hAnsi="Times New Roman" w:eastAsia="仿宋_GB2312" w:cs="Times New Roman"/>
          <w:bCs/>
          <w:sz w:val="32"/>
          <w:szCs w:val="32"/>
          <w:u w:val="none"/>
        </w:rPr>
        <w:t>）严格落实环境风险防范措施。</w:t>
      </w:r>
      <w:r>
        <w:rPr>
          <w:rFonts w:hint="default" w:ascii="Times New Roman" w:hAnsi="Times New Roman" w:eastAsia="仿宋_GB2312" w:cs="Times New Roman"/>
          <w:bCs/>
          <w:kern w:val="0"/>
          <w:sz w:val="32"/>
          <w:szCs w:val="32"/>
          <w:u w:val="none"/>
        </w:rPr>
        <w:t>须加强对依托的</w:t>
      </w:r>
      <w:r>
        <w:rPr>
          <w:rFonts w:hint="default" w:ascii="Times New Roman" w:hAnsi="Times New Roman" w:eastAsia="仿宋_GB2312" w:cs="Times New Roman"/>
          <w:sz w:val="32"/>
          <w:szCs w:val="32"/>
          <w:u w:val="none"/>
        </w:rPr>
        <w:t>生产装置区、事故水池</w:t>
      </w:r>
      <w:r>
        <w:rPr>
          <w:rFonts w:hint="default" w:ascii="Times New Roman" w:hAnsi="Times New Roman" w:eastAsia="仿宋_GB2312" w:cs="Times New Roman"/>
          <w:bCs/>
          <w:kern w:val="0"/>
          <w:sz w:val="32"/>
          <w:szCs w:val="32"/>
          <w:u w:val="none"/>
        </w:rPr>
        <w:t>等区域环境风险防范设施的检查和维护，强化环境风险隐患的排查，及时增补环境风险防范措施；</w:t>
      </w:r>
      <w:r>
        <w:rPr>
          <w:rFonts w:hint="default" w:ascii="Times New Roman" w:hAnsi="Times New Roman" w:eastAsia="仿宋_GB2312" w:cs="Times New Roman"/>
          <w:sz w:val="32"/>
          <w:szCs w:val="32"/>
          <w:u w:val="none"/>
        </w:rPr>
        <w:t>有毒有害的原辅材料须储存于阴凉、通风仓库内，远离火种、热源；危险废物须存放在单独的密闭库房内，并设置明显标识；运输车辆须按规定路线行驶，运输车辆配备消防器材；及时修编突发环</w:t>
      </w:r>
      <w:r>
        <w:rPr>
          <w:rFonts w:hint="default" w:ascii="Times New Roman" w:hAnsi="Times New Roman" w:eastAsia="仿宋_GB2312" w:cs="Times New Roman"/>
          <w:bCs/>
          <w:sz w:val="32"/>
          <w:szCs w:val="32"/>
          <w:u w:val="none"/>
        </w:rPr>
        <w:t>境事件应急</w:t>
      </w:r>
      <w:r>
        <w:rPr>
          <w:rFonts w:hint="default" w:ascii="Times New Roman" w:hAnsi="Times New Roman" w:eastAsia="仿宋_GB2312" w:cs="Times New Roman"/>
          <w:sz w:val="32"/>
          <w:szCs w:val="32"/>
          <w:u w:val="none"/>
        </w:rPr>
        <w:t>预案，按要求配备足够的环境应急物资，开展经常性演练，并到生态环境主管部门及有关部门备案，防止发生环境风险事故。</w:t>
      </w:r>
    </w:p>
    <w:p w14:paraId="0CB730D1">
      <w:pPr>
        <w:pStyle w:val="13"/>
        <w:keepNext w:val="0"/>
        <w:keepLines w:val="0"/>
        <w:pageBreakBefore w:val="0"/>
        <w:kinsoku/>
        <w:wordWrap/>
        <w:overflowPunct/>
        <w:topLinePunct w:val="0"/>
        <w:autoSpaceDE/>
        <w:autoSpaceDN/>
        <w:bidi w:val="0"/>
        <w:spacing w:line="576" w:lineRule="exact"/>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bCs w:val="0"/>
          <w:sz w:val="32"/>
          <w:szCs w:val="32"/>
          <w:highlight w:val="none"/>
          <w:u w:val="none"/>
        </w:rPr>
        <w:t>（七）</w:t>
      </w:r>
      <w:r>
        <w:rPr>
          <w:rFonts w:hint="default" w:ascii="Times New Roman" w:hAnsi="Times New Roman" w:eastAsia="仿宋_GB2312" w:cs="Times New Roman"/>
          <w:iCs/>
          <w:sz w:val="32"/>
          <w:szCs w:val="32"/>
          <w:u w:val="none"/>
        </w:rPr>
        <w:t>严格落实环评文件中提出的环境监测计划，合理布设监测点位，定期委托有资质的监测机构对废水、废气和噪声及厂区附近环境空气、土壤、地下水环境进行监测，发现超标现象，须及时采取整改措施，确保废水（气）、噪声等达标排放，防止污染环境。</w:t>
      </w:r>
    </w:p>
    <w:p w14:paraId="22A61375">
      <w:pPr>
        <w:keepNext w:val="0"/>
        <w:keepLines w:val="0"/>
        <w:pageBreakBefore w:val="0"/>
        <w:kinsoku/>
        <w:wordWrap/>
        <w:overflowPunct/>
        <w:topLinePunct w:val="0"/>
        <w:autoSpaceDE/>
        <w:autoSpaceDN/>
        <w:bidi w:val="0"/>
        <w:adjustRightInd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三、</w:t>
      </w:r>
      <w:r>
        <w:rPr>
          <w:rFonts w:hint="default" w:ascii="Times New Roman" w:hAnsi="Times New Roman" w:eastAsia="仿宋_GB2312" w:cs="Times New Roman"/>
          <w:sz w:val="32"/>
          <w:szCs w:val="32"/>
        </w:rPr>
        <w:t>项目建设必须严格执行环境保护设施与主体工程同时设计、同时施工、同时投产使用的环境保护“三同时”制度。项目竣工后，须按相关法律法规及生态环境部规定的标准和程序对建设项目配套建设的环境保护设施进行验收，并依法公开验收报告。配套建设的环境保护设施未经验收或者验收不合格的，主体工程不得投入使用。</w:t>
      </w:r>
    </w:p>
    <w:p w14:paraId="7DDC1C1A">
      <w:pPr>
        <w:keepNext w:val="0"/>
        <w:keepLines w:val="0"/>
        <w:pageBreakBefore w:val="0"/>
        <w:widowControl/>
        <w:kinsoku/>
        <w:wordWrap/>
        <w:overflowPunct/>
        <w:topLinePunct w:val="0"/>
        <w:autoSpaceDE/>
        <w:autoSpaceDN/>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四、</w:t>
      </w:r>
      <w:r>
        <w:rPr>
          <w:rFonts w:hint="default" w:ascii="Times New Roman" w:hAnsi="Times New Roman" w:eastAsia="仿宋_GB2312" w:cs="Times New Roman"/>
          <w:sz w:val="32"/>
          <w:szCs w:val="32"/>
        </w:rPr>
        <w:t>环境影响报告</w:t>
      </w:r>
      <w:r>
        <w:rPr>
          <w:rFonts w:hint="eastAsia" w:ascii="Times New Roman" w:hAnsi="Times New Roman" w:eastAsia="仿宋_GB2312" w:cs="Times New Roman"/>
          <w:sz w:val="32"/>
          <w:szCs w:val="32"/>
          <w:lang w:val="en-US" w:eastAsia="zh-CN"/>
        </w:rPr>
        <w:t>书</w:t>
      </w:r>
      <w:r>
        <w:rPr>
          <w:rFonts w:hint="default" w:ascii="Times New Roman" w:hAnsi="Times New Roman" w:eastAsia="仿宋_GB2312" w:cs="Times New Roman"/>
          <w:sz w:val="32"/>
          <w:szCs w:val="32"/>
        </w:rPr>
        <w:t>经批准后，项目的性质、规模、地点或者防止生态破坏、防治污染的措施发生重大变动的，应当在变动前重新报批该项目的环境影响报告</w:t>
      </w:r>
      <w:r>
        <w:rPr>
          <w:rFonts w:hint="eastAsia" w:ascii="Times New Roman" w:hAnsi="Times New Roman" w:eastAsia="仿宋_GB2312" w:cs="Times New Roman"/>
          <w:sz w:val="32"/>
          <w:szCs w:val="32"/>
          <w:lang w:val="en-US" w:eastAsia="zh-CN"/>
        </w:rPr>
        <w:t>书</w:t>
      </w:r>
      <w:r>
        <w:rPr>
          <w:rFonts w:hint="default" w:ascii="Times New Roman" w:hAnsi="Times New Roman" w:eastAsia="仿宋_GB2312" w:cs="Times New Roman"/>
          <w:sz w:val="32"/>
          <w:szCs w:val="32"/>
        </w:rPr>
        <w:t>。建设项目环境影响报告</w:t>
      </w:r>
      <w:r>
        <w:rPr>
          <w:rFonts w:hint="eastAsia" w:ascii="Times New Roman" w:hAnsi="Times New Roman" w:eastAsia="仿宋_GB2312" w:cs="Times New Roman"/>
          <w:sz w:val="32"/>
          <w:szCs w:val="32"/>
          <w:lang w:val="en-US" w:eastAsia="zh-CN"/>
        </w:rPr>
        <w:t>书</w:t>
      </w:r>
      <w:r>
        <w:rPr>
          <w:rFonts w:hint="default" w:ascii="Times New Roman" w:hAnsi="Times New Roman" w:eastAsia="仿宋_GB2312" w:cs="Times New Roman"/>
          <w:sz w:val="32"/>
          <w:szCs w:val="32"/>
        </w:rPr>
        <w:t>自批复之日起满5年，建设项目方决定开工建设的，其环境影响报告</w:t>
      </w:r>
      <w:r>
        <w:rPr>
          <w:rFonts w:hint="eastAsia" w:ascii="Times New Roman" w:hAnsi="Times New Roman" w:eastAsia="仿宋_GB2312" w:cs="Times New Roman"/>
          <w:sz w:val="32"/>
          <w:szCs w:val="32"/>
          <w:lang w:val="en-US" w:eastAsia="zh-CN"/>
        </w:rPr>
        <w:t>书</w:t>
      </w:r>
      <w:r>
        <w:rPr>
          <w:rFonts w:hint="default" w:ascii="Times New Roman" w:hAnsi="Times New Roman" w:eastAsia="仿宋_GB2312" w:cs="Times New Roman"/>
          <w:sz w:val="32"/>
          <w:szCs w:val="32"/>
        </w:rPr>
        <w:t>应当报我</w:t>
      </w:r>
      <w:r>
        <w:rPr>
          <w:rFonts w:hint="default"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rPr>
        <w:t>重新审核。</w:t>
      </w:r>
    </w:p>
    <w:p w14:paraId="3B4060FE">
      <w:pPr>
        <w:keepNext w:val="0"/>
        <w:keepLines w:val="0"/>
        <w:pageBreakBefore w:val="0"/>
        <w:kinsoku/>
        <w:wordWrap/>
        <w:overflowPunct/>
        <w:topLinePunct w:val="0"/>
        <w:autoSpaceDE/>
        <w:autoSpaceDN/>
        <w:bidi w:val="0"/>
        <w:adjustRightInd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五、</w:t>
      </w:r>
      <w:r>
        <w:rPr>
          <w:rFonts w:hint="default" w:ascii="Times New Roman" w:hAnsi="Times New Roman" w:eastAsia="仿宋_GB2312" w:cs="Times New Roman"/>
          <w:sz w:val="32"/>
          <w:szCs w:val="32"/>
        </w:rPr>
        <w:t>你单位作为建设项目环评信息公开的主体，在该项目施工和运行过程中，应建立畅通的公众参与平台，及时解决公众担忧的环境问题，满足公众合理的环境诉求。应按照《建设项目环境影响评价信息公开机制方案》相关规定向社会公开相应的环境影响评价信息，主动接受社会监督。</w:t>
      </w:r>
    </w:p>
    <w:p w14:paraId="5B5BF41F">
      <w:pPr>
        <w:keepNext w:val="0"/>
        <w:keepLines w:val="0"/>
        <w:pageBreakBefore w:val="0"/>
        <w:kinsoku/>
        <w:wordWrap/>
        <w:overflowPunct/>
        <w:topLinePunct w:val="0"/>
        <w:autoSpaceDE/>
        <w:autoSpaceDN/>
        <w:bidi w:val="0"/>
        <w:adjustRightInd w:val="0"/>
        <w:snapToGrid/>
        <w:spacing w:line="576" w:lineRule="exact"/>
        <w:ind w:firstLine="640" w:firstLineChars="200"/>
        <w:textAlignment w:val="auto"/>
        <w:rPr>
          <w:rFonts w:hint="default" w:ascii="Times New Roman" w:hAnsi="Times New Roman" w:eastAsia="仿宋_GB2312" w:cs="Times New Roman"/>
          <w:sz w:val="32"/>
          <w:szCs w:val="32"/>
          <w:highlight w:val="red"/>
        </w:rPr>
      </w:pPr>
      <w:r>
        <w:rPr>
          <w:rFonts w:hint="eastAsia" w:ascii="黑体" w:hAnsi="黑体" w:eastAsia="黑体" w:cs="黑体"/>
          <w:sz w:val="32"/>
          <w:szCs w:val="32"/>
        </w:rPr>
        <w:t>六、</w:t>
      </w:r>
      <w:r>
        <w:rPr>
          <w:rFonts w:hint="default" w:ascii="Times New Roman" w:hAnsi="Times New Roman" w:eastAsia="仿宋_GB2312" w:cs="Times New Roman"/>
          <w:sz w:val="32"/>
          <w:szCs w:val="32"/>
        </w:rPr>
        <w:t>你单位应按照相关法律法规要求对项目实际产生的环境影响以及污染防治、生态保护和环境风险防范措施的有效性进行跟踪监测和验证评价，开展必要的项目环境影响后评价工作，并提出补救方案或者改进措施。</w:t>
      </w:r>
    </w:p>
    <w:p w14:paraId="1A1F922A">
      <w:pPr>
        <w:keepNext w:val="0"/>
        <w:keepLines w:val="0"/>
        <w:pageBreakBefore w:val="0"/>
        <w:kinsoku/>
        <w:wordWrap/>
        <w:overflowPunct/>
        <w:topLinePunct w:val="0"/>
        <w:autoSpaceDE/>
        <w:autoSpaceDN/>
        <w:bidi w:val="0"/>
        <w:adjustRightInd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七、</w:t>
      </w:r>
      <w:r>
        <w:rPr>
          <w:rFonts w:hint="default" w:ascii="Times New Roman" w:hAnsi="Times New Roman" w:eastAsia="仿宋_GB2312" w:cs="Times New Roman"/>
          <w:b w:val="0"/>
          <w:bCs w:val="0"/>
          <w:sz w:val="32"/>
          <w:szCs w:val="32"/>
          <w:u w:val="none"/>
          <w:lang w:val="en-US" w:eastAsia="zh-CN"/>
        </w:rPr>
        <w:t>请</w:t>
      </w:r>
      <w:r>
        <w:rPr>
          <w:rFonts w:hint="default" w:ascii="Times New Roman" w:hAnsi="Times New Roman" w:eastAsia="仿宋_GB2312" w:cs="Times New Roman"/>
          <w:sz w:val="32"/>
          <w:szCs w:val="32"/>
          <w:highlight w:val="none"/>
          <w:lang w:val="en-US" w:eastAsia="zh-CN"/>
        </w:rPr>
        <w:t>通化市生态环境综合执法支队和</w:t>
      </w:r>
      <w:r>
        <w:rPr>
          <w:rFonts w:hint="default" w:ascii="Times New Roman" w:hAnsi="Times New Roman" w:eastAsia="仿宋_GB2312" w:cs="Times New Roman"/>
          <w:b w:val="0"/>
          <w:bCs w:val="0"/>
          <w:sz w:val="32"/>
          <w:szCs w:val="32"/>
          <w:u w:val="none"/>
          <w:lang w:val="en-US" w:eastAsia="zh-CN"/>
        </w:rPr>
        <w:t>通化市生态环境局二道江区分局负责该项目的监督检查和环境管理工作。</w:t>
      </w:r>
    </w:p>
    <w:p w14:paraId="26D6D533">
      <w:pPr>
        <w:keepNext w:val="0"/>
        <w:keepLines w:val="0"/>
        <w:pageBreakBefore w:val="0"/>
        <w:kinsoku/>
        <w:wordWrap/>
        <w:overflowPunct/>
        <w:topLinePunct w:val="0"/>
        <w:autoSpaceDE/>
        <w:autoSpaceDN/>
        <w:bidi w:val="0"/>
        <w:adjustRightInd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八、</w:t>
      </w:r>
      <w:r>
        <w:rPr>
          <w:rFonts w:hint="default" w:ascii="Times New Roman" w:hAnsi="Times New Roman" w:eastAsia="仿宋_GB2312" w:cs="Times New Roman"/>
          <w:sz w:val="32"/>
          <w:szCs w:val="32"/>
        </w:rPr>
        <w:t>你单位应在收到本批复后20个工作日内，将批准后的环境影响报告表及批复文件送至</w:t>
      </w:r>
      <w:r>
        <w:rPr>
          <w:rFonts w:hint="default" w:ascii="Times New Roman" w:hAnsi="Times New Roman" w:eastAsia="仿宋_GB2312" w:cs="Times New Roman"/>
          <w:sz w:val="32"/>
          <w:szCs w:val="32"/>
          <w:highlight w:val="none"/>
          <w:lang w:val="en-US" w:eastAsia="zh-CN"/>
        </w:rPr>
        <w:t>通化市生态环境综合执法支队</w:t>
      </w:r>
      <w:r>
        <w:rPr>
          <w:rFonts w:hint="default" w:ascii="Times New Roman" w:hAnsi="Times New Roman" w:eastAsia="仿宋_GB2312" w:cs="Times New Roman"/>
          <w:sz w:val="32"/>
          <w:szCs w:val="32"/>
        </w:rPr>
        <w:t>、</w:t>
      </w:r>
      <w:r>
        <w:rPr>
          <w:rFonts w:hint="default" w:ascii="Times New Roman" w:hAnsi="Times New Roman" w:eastAsia="仿宋_GB2312" w:cs="Times New Roman"/>
          <w:b w:val="0"/>
          <w:bCs w:val="0"/>
          <w:sz w:val="32"/>
          <w:szCs w:val="32"/>
          <w:u w:val="none"/>
          <w:lang w:val="en-US" w:eastAsia="zh-CN"/>
        </w:rPr>
        <w:t>通化市生态环境局二道江区分局</w:t>
      </w:r>
      <w:r>
        <w:rPr>
          <w:rFonts w:hint="default" w:ascii="Times New Roman" w:hAnsi="Times New Roman" w:eastAsia="仿宋_GB2312" w:cs="Times New Roman"/>
          <w:sz w:val="32"/>
          <w:szCs w:val="32"/>
        </w:rPr>
        <w:t>，并按规定接受各级生态环境主管部门的日常监督检查。</w:t>
      </w:r>
    </w:p>
    <w:p w14:paraId="55075F3D">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b w:val="0"/>
          <w:bCs w:val="0"/>
          <w:sz w:val="32"/>
          <w:szCs w:val="32"/>
          <w:u w:val="none"/>
          <w:lang w:val="en-US" w:eastAsia="zh-CN"/>
        </w:rPr>
      </w:pPr>
    </w:p>
    <w:p w14:paraId="277E74D2">
      <w:pPr>
        <w:pStyle w:val="7"/>
        <w:keepNext w:val="0"/>
        <w:keepLines w:val="0"/>
        <w:pageBreakBefore w:val="0"/>
        <w:kinsoku/>
        <w:wordWrap/>
        <w:overflowPunct/>
        <w:topLinePunct w:val="0"/>
        <w:autoSpaceDE/>
        <w:autoSpaceDN/>
        <w:bidi w:val="0"/>
        <w:spacing w:line="576" w:lineRule="exact"/>
        <w:textAlignment w:val="auto"/>
        <w:rPr>
          <w:rFonts w:hint="default" w:ascii="Times New Roman" w:hAnsi="Times New Roman" w:eastAsia="仿宋_GB2312" w:cs="Times New Roman"/>
          <w:sz w:val="32"/>
          <w:szCs w:val="32"/>
          <w:lang w:val="en-US" w:eastAsia="zh-CN"/>
        </w:rPr>
      </w:pPr>
    </w:p>
    <w:p w14:paraId="3B4BE301">
      <w:pPr>
        <w:pStyle w:val="7"/>
        <w:keepNext w:val="0"/>
        <w:keepLines w:val="0"/>
        <w:pageBreakBefore w:val="0"/>
        <w:kinsoku/>
        <w:wordWrap/>
        <w:overflowPunct/>
        <w:topLinePunct w:val="0"/>
        <w:autoSpaceDE/>
        <w:autoSpaceDN/>
        <w:bidi w:val="0"/>
        <w:spacing w:line="576" w:lineRule="exact"/>
        <w:textAlignment w:val="auto"/>
        <w:rPr>
          <w:rFonts w:hint="default" w:ascii="Times New Roman" w:hAnsi="Times New Roman" w:eastAsia="仿宋_GB2312" w:cs="Times New Roman"/>
          <w:sz w:val="32"/>
          <w:szCs w:val="32"/>
          <w:lang w:val="en-US" w:eastAsia="zh-CN"/>
        </w:rPr>
      </w:pPr>
    </w:p>
    <w:p w14:paraId="098391BF">
      <w:pPr>
        <w:keepNext w:val="0"/>
        <w:keepLines w:val="0"/>
        <w:pageBreakBefore w:val="0"/>
        <w:widowControl w:val="0"/>
        <w:kinsoku/>
        <w:wordWrap/>
        <w:overflowPunct/>
        <w:topLinePunct w:val="0"/>
        <w:autoSpaceDE/>
        <w:autoSpaceDN/>
        <w:bidi w:val="0"/>
        <w:adjustRightInd/>
        <w:snapToGrid/>
        <w:spacing w:line="576" w:lineRule="exact"/>
        <w:ind w:firstLine="5443" w:firstLineChars="1701"/>
        <w:textAlignment w:val="auto"/>
        <w:rPr>
          <w:rFonts w:hint="default" w:ascii="Times New Roman" w:hAnsi="Times New Roman" w:eastAsia="仿宋_GB2312" w:cs="Times New Roman"/>
          <w:b w:val="0"/>
          <w:bCs w:val="0"/>
          <w:sz w:val="32"/>
          <w:szCs w:val="32"/>
          <w:u w:val="none"/>
          <w:lang w:val="en-US" w:eastAsia="zh-CN"/>
        </w:rPr>
      </w:pPr>
      <w:r>
        <w:rPr>
          <w:rFonts w:hint="default" w:ascii="Times New Roman" w:hAnsi="Times New Roman" w:eastAsia="仿宋_GB2312" w:cs="Times New Roman"/>
          <w:b w:val="0"/>
          <w:bCs w:val="0"/>
          <w:sz w:val="32"/>
          <w:szCs w:val="32"/>
          <w:u w:val="none"/>
          <w:lang w:val="en-US" w:eastAsia="zh-CN"/>
        </w:rPr>
        <w:t>通化市生态环境局</w:t>
      </w:r>
    </w:p>
    <w:p w14:paraId="321CCBC4">
      <w:pPr>
        <w:keepNext w:val="0"/>
        <w:keepLines w:val="0"/>
        <w:pageBreakBefore w:val="0"/>
        <w:widowControl w:val="0"/>
        <w:kinsoku/>
        <w:wordWrap/>
        <w:overflowPunct/>
        <w:topLinePunct w:val="0"/>
        <w:autoSpaceDE/>
        <w:autoSpaceDN/>
        <w:bidi w:val="0"/>
        <w:adjustRightInd/>
        <w:snapToGrid/>
        <w:spacing w:line="576" w:lineRule="exact"/>
        <w:ind w:firstLine="5443" w:firstLineChars="1701"/>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val="0"/>
          <w:bCs w:val="0"/>
          <w:sz w:val="32"/>
          <w:szCs w:val="32"/>
          <w:u w:val="none"/>
          <w:lang w:val="en-US" w:eastAsia="zh-CN"/>
        </w:rPr>
        <w:t>2026年7月2日</w:t>
      </w:r>
    </w:p>
    <w:p w14:paraId="027A1951">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rPr>
      </w:pPr>
      <w:bookmarkStart w:id="0" w:name="_GoBack"/>
      <w:bookmarkEnd w:id="0"/>
    </w:p>
    <w:sectPr>
      <w:footerReference r:id="rId3" w:type="default"/>
      <w:pgSz w:w="11906" w:h="16838"/>
      <w:pgMar w:top="1418" w:right="1531" w:bottom="1134"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B855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02F63F">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402F63F">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9020CF"/>
    <w:rsid w:val="00577B2A"/>
    <w:rsid w:val="020531A4"/>
    <w:rsid w:val="0341020B"/>
    <w:rsid w:val="03A05D2D"/>
    <w:rsid w:val="03A5079A"/>
    <w:rsid w:val="04D035F5"/>
    <w:rsid w:val="058C1C12"/>
    <w:rsid w:val="05962A91"/>
    <w:rsid w:val="05E324B6"/>
    <w:rsid w:val="07397B77"/>
    <w:rsid w:val="07B93A96"/>
    <w:rsid w:val="0949606C"/>
    <w:rsid w:val="0A7B04A7"/>
    <w:rsid w:val="0AB061A6"/>
    <w:rsid w:val="0B696551"/>
    <w:rsid w:val="0C8B7C21"/>
    <w:rsid w:val="0CEB1914"/>
    <w:rsid w:val="0D643474"/>
    <w:rsid w:val="0E664FCA"/>
    <w:rsid w:val="0EF12AE6"/>
    <w:rsid w:val="0F9D2C6D"/>
    <w:rsid w:val="0FDC19E8"/>
    <w:rsid w:val="10477252"/>
    <w:rsid w:val="107C3EEF"/>
    <w:rsid w:val="109020CF"/>
    <w:rsid w:val="138A3509"/>
    <w:rsid w:val="15671D54"/>
    <w:rsid w:val="15CA22E2"/>
    <w:rsid w:val="16104199"/>
    <w:rsid w:val="17214184"/>
    <w:rsid w:val="17F13B56"/>
    <w:rsid w:val="18583BD5"/>
    <w:rsid w:val="187D363C"/>
    <w:rsid w:val="1AF52032"/>
    <w:rsid w:val="1D5102B1"/>
    <w:rsid w:val="1E3E386E"/>
    <w:rsid w:val="1E6E4D59"/>
    <w:rsid w:val="1E831280"/>
    <w:rsid w:val="1F596B0E"/>
    <w:rsid w:val="1F814123"/>
    <w:rsid w:val="1F933745"/>
    <w:rsid w:val="1FBC2C9C"/>
    <w:rsid w:val="2031368A"/>
    <w:rsid w:val="20B87907"/>
    <w:rsid w:val="217D645B"/>
    <w:rsid w:val="21B91B1C"/>
    <w:rsid w:val="23FE7D27"/>
    <w:rsid w:val="24CD76F9"/>
    <w:rsid w:val="25407ECB"/>
    <w:rsid w:val="26443D24"/>
    <w:rsid w:val="26812549"/>
    <w:rsid w:val="268E625F"/>
    <w:rsid w:val="276327DA"/>
    <w:rsid w:val="276D1712"/>
    <w:rsid w:val="29915199"/>
    <w:rsid w:val="2A9211C9"/>
    <w:rsid w:val="2B285689"/>
    <w:rsid w:val="2B3E4EAD"/>
    <w:rsid w:val="2C1D1CAF"/>
    <w:rsid w:val="2C332538"/>
    <w:rsid w:val="2CB27900"/>
    <w:rsid w:val="2D393B7E"/>
    <w:rsid w:val="304F5466"/>
    <w:rsid w:val="30C3032E"/>
    <w:rsid w:val="31772EC7"/>
    <w:rsid w:val="322C1F03"/>
    <w:rsid w:val="324A4137"/>
    <w:rsid w:val="34AA5361"/>
    <w:rsid w:val="35215623"/>
    <w:rsid w:val="37E66DC3"/>
    <w:rsid w:val="3814146F"/>
    <w:rsid w:val="389B393F"/>
    <w:rsid w:val="39316308"/>
    <w:rsid w:val="3986639D"/>
    <w:rsid w:val="3BA7084C"/>
    <w:rsid w:val="3C017F5D"/>
    <w:rsid w:val="3CA60B04"/>
    <w:rsid w:val="3D5F13DF"/>
    <w:rsid w:val="3E495BEB"/>
    <w:rsid w:val="3E6B29EB"/>
    <w:rsid w:val="40095632"/>
    <w:rsid w:val="403A57EB"/>
    <w:rsid w:val="41E74BB5"/>
    <w:rsid w:val="422E7534"/>
    <w:rsid w:val="423170C2"/>
    <w:rsid w:val="42A203F3"/>
    <w:rsid w:val="42C972FA"/>
    <w:rsid w:val="4416031D"/>
    <w:rsid w:val="44F468B0"/>
    <w:rsid w:val="4570474C"/>
    <w:rsid w:val="458D0AB3"/>
    <w:rsid w:val="45C1250B"/>
    <w:rsid w:val="469F1403"/>
    <w:rsid w:val="471072A6"/>
    <w:rsid w:val="47BC11DC"/>
    <w:rsid w:val="4851401A"/>
    <w:rsid w:val="48714FA4"/>
    <w:rsid w:val="487F0B87"/>
    <w:rsid w:val="488241D3"/>
    <w:rsid w:val="48904B42"/>
    <w:rsid w:val="49635DB3"/>
    <w:rsid w:val="4BAA4BA0"/>
    <w:rsid w:val="4C431ECB"/>
    <w:rsid w:val="4CE52F83"/>
    <w:rsid w:val="4EF83441"/>
    <w:rsid w:val="4F21041D"/>
    <w:rsid w:val="4FD92E63"/>
    <w:rsid w:val="51D81308"/>
    <w:rsid w:val="526112FD"/>
    <w:rsid w:val="53004672"/>
    <w:rsid w:val="54C70857"/>
    <w:rsid w:val="55284354"/>
    <w:rsid w:val="56336B0D"/>
    <w:rsid w:val="56865EF2"/>
    <w:rsid w:val="595B6AA6"/>
    <w:rsid w:val="5A7D2A4C"/>
    <w:rsid w:val="5B215ACE"/>
    <w:rsid w:val="5BCB77E7"/>
    <w:rsid w:val="5D4F7BF2"/>
    <w:rsid w:val="5F182D44"/>
    <w:rsid w:val="5F473629"/>
    <w:rsid w:val="603B13E0"/>
    <w:rsid w:val="60545FFD"/>
    <w:rsid w:val="60651FB9"/>
    <w:rsid w:val="60EF5D26"/>
    <w:rsid w:val="65476131"/>
    <w:rsid w:val="658D448B"/>
    <w:rsid w:val="67E1461B"/>
    <w:rsid w:val="68150768"/>
    <w:rsid w:val="69813D2E"/>
    <w:rsid w:val="6A331379"/>
    <w:rsid w:val="6A4946F9"/>
    <w:rsid w:val="6B035252"/>
    <w:rsid w:val="6BAF2C82"/>
    <w:rsid w:val="6BC009EB"/>
    <w:rsid w:val="6D9E29F3"/>
    <w:rsid w:val="6DC347C2"/>
    <w:rsid w:val="6ECD58F9"/>
    <w:rsid w:val="6EDB5CDE"/>
    <w:rsid w:val="742C4ED3"/>
    <w:rsid w:val="74582108"/>
    <w:rsid w:val="74620891"/>
    <w:rsid w:val="74C7103C"/>
    <w:rsid w:val="754D1541"/>
    <w:rsid w:val="795F5CE7"/>
    <w:rsid w:val="79B53B59"/>
    <w:rsid w:val="79E76C84"/>
    <w:rsid w:val="7DA36E89"/>
    <w:rsid w:val="7EF742CC"/>
    <w:rsid w:val="7F052E8D"/>
    <w:rsid w:val="7FCF14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1"/>
    <w:pPr>
      <w:widowControl/>
      <w:snapToGrid w:val="0"/>
      <w:spacing w:before="60" w:after="160" w:line="259" w:lineRule="auto"/>
      <w:ind w:right="113"/>
    </w:pPr>
    <w:rPr>
      <w:kern w:val="0"/>
      <w:sz w:val="18"/>
      <w:szCs w:val="20"/>
    </w:rPr>
  </w:style>
  <w:style w:type="paragraph" w:styleId="3">
    <w:name w:val="toc 1"/>
    <w:basedOn w:val="1"/>
    <w:next w:val="1"/>
    <w:qFormat/>
    <w:uiPriority w:val="1"/>
    <w:rPr>
      <w:szCs w:val="24"/>
    </w:rPr>
  </w:style>
  <w:style w:type="paragraph" w:styleId="4">
    <w:name w:val="Body Text Indent"/>
    <w:basedOn w:val="1"/>
    <w:unhideWhenUsed/>
    <w:qFormat/>
    <w:uiPriority w:val="0"/>
    <w:pPr>
      <w:tabs>
        <w:tab w:val="left" w:pos="4095"/>
      </w:tabs>
      <w:topLinePunct/>
      <w:adjustRightInd w:val="0"/>
      <w:snapToGrid w:val="0"/>
      <w:spacing w:after="120"/>
      <w:ind w:left="420" w:leftChars="200"/>
      <w:jc w:val="left"/>
    </w:pPr>
    <w:rPr>
      <w:rFonts w:ascii="Times New Roman" w:hAnsi="Times New Roman"/>
      <w:color w:val="000000"/>
      <w:szCs w:val="24"/>
    </w:rPr>
  </w:style>
  <w:style w:type="paragraph" w:styleId="5">
    <w:name w:val="footer"/>
    <w:basedOn w:val="1"/>
    <w:semiHidden/>
    <w:unhideWhenUsed/>
    <w:qFormat/>
    <w:uiPriority w:val="99"/>
    <w:pPr>
      <w:tabs>
        <w:tab w:val="center" w:pos="4153"/>
        <w:tab w:val="right" w:pos="8306"/>
      </w:tabs>
      <w:snapToGrid w:val="0"/>
      <w:jc w:val="left"/>
    </w:pPr>
    <w:rPr>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7">
    <w:name w:val="Body Text First Indent 2"/>
    <w:basedOn w:val="4"/>
    <w:next w:val="1"/>
    <w:qFormat/>
    <w:uiPriority w:val="0"/>
    <w:pPr>
      <w:topLinePunct w:val="0"/>
      <w:adjustRightInd/>
      <w:snapToGrid/>
      <w:ind w:firstLine="420"/>
      <w:jc w:val="both"/>
    </w:pPr>
    <w:rPr>
      <w:rFonts w:ascii="宋体" w:hAnsi="宋体"/>
      <w:szCs w:val="21"/>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unhideWhenUsed/>
    <w:qFormat/>
    <w:uiPriority w:val="99"/>
    <w:rPr>
      <w:sz w:val="21"/>
      <w:szCs w:val="21"/>
    </w:rPr>
  </w:style>
  <w:style w:type="paragraph" w:customStyle="1" w:styleId="12">
    <w:name w:val="DM正文"/>
    <w:basedOn w:val="1"/>
    <w:qFormat/>
    <w:uiPriority w:val="3"/>
    <w:pPr>
      <w:spacing w:line="360" w:lineRule="auto"/>
      <w:ind w:firstLine="200" w:firstLineChars="200"/>
    </w:pPr>
    <w:rPr>
      <w:rFonts w:eastAsiaTheme="minorEastAsia" w:cstheme="minorBidi"/>
      <w:sz w:val="24"/>
    </w:rPr>
  </w:style>
  <w:style w:type="paragraph" w:customStyle="1" w:styleId="13">
    <w:name w:val="评估意见正文内容"/>
    <w:basedOn w:val="1"/>
    <w:qFormat/>
    <w:uiPriority w:val="0"/>
    <w:pPr>
      <w:spacing w:line="360" w:lineRule="auto"/>
      <w:ind w:firstLine="640" w:firstLineChars="200"/>
    </w:pPr>
    <w:rPr>
      <w:rFonts w:ascii="仿宋_GB2312" w:hAnsi="宋体" w:eastAsia="仿宋_GB2312"/>
      <w:bCs/>
      <w:sz w:val="32"/>
      <w:szCs w:val="23"/>
    </w:rPr>
  </w:style>
  <w:style w:type="paragraph" w:customStyle="1" w:styleId="14">
    <w:name w:val="Default"/>
    <w:basedOn w:val="1"/>
    <w:next w:val="1"/>
    <w:qFormat/>
    <w:uiPriority w:val="0"/>
    <w:pPr>
      <w:autoSpaceDE w:val="0"/>
      <w:autoSpaceDN w:val="0"/>
      <w:adjustRightInd w:val="0"/>
    </w:pPr>
    <w:rPr>
      <w:rFonts w:ascii="黑体" w:hAnsi="Calibri" w:eastAsia="黑体" w:cs="黑体"/>
      <w:color w:val="000000"/>
      <w:sz w:val="24"/>
      <w:szCs w:val="24"/>
    </w:rPr>
  </w:style>
  <w:style w:type="paragraph" w:customStyle="1" w:styleId="15">
    <w:name w:val="宋小四缩"/>
    <w:basedOn w:val="1"/>
    <w:qFormat/>
    <w:uiPriority w:val="0"/>
    <w:pPr>
      <w:spacing w:line="360" w:lineRule="auto"/>
      <w:ind w:firstLine="200" w:firstLineChars="200"/>
    </w:pPr>
    <w:rPr>
      <w:rFonts w:ascii="宋体" w:hAnsi="宋体"/>
      <w:color w:val="00000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3488</Words>
  <Characters>3598</Characters>
  <Lines>0</Lines>
  <Paragraphs>0</Paragraphs>
  <TotalTime>0</TotalTime>
  <ScaleCrop>false</ScaleCrop>
  <LinksUpToDate>false</LinksUpToDate>
  <CharactersWithSpaces>3606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2024-11-21T00:35:00Z</dcterms:created>
  <dc:creator>随遇而安</dc:creator>
  <cp:lastModifiedBy>随遇而安</cp:lastModifiedBy>
  <cp:lastPrinted>2026-04-07T07:20:00Z</cp:lastPrinted>
  <dcterms:modified xsi:type="dcterms:W3CDTF">2026-06-18T01:08:15Z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A0A4A93883CF4A729A896B2A6AA42798_13</vt:lpwstr>
  </property>
  <property fmtid="{D5CDD505-2E9C-101B-9397-08002B2CF9AE}" pid="4" name="KSOTemplateDocerSaveRecord">
    <vt:lpwstr>eyJoZGlkIjoiZTk0ZjNhNjFmYzAwMjYyMTU5NmZlYzQzMzY3OWNhZWYiLCJ1c2VySWQiOiIzMzk5MDA5MzEifQ==</vt:lpwstr>
  </property>
</Properties>
</file>