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F73965">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default" w:ascii="Times New Roman" w:hAnsi="Times New Roman" w:eastAsia="仿宋_GB2312" w:cs="Times New Roman"/>
          <w:b w:val="0"/>
          <w:bCs/>
          <w:sz w:val="32"/>
          <w:szCs w:val="32"/>
        </w:rPr>
      </w:pPr>
    </w:p>
    <w:p w14:paraId="04E28026">
      <w:pPr>
        <w:keepNext w:val="0"/>
        <w:keepLines w:val="0"/>
        <w:pageBreakBefore w:val="0"/>
        <w:widowControl w:val="0"/>
        <w:kinsoku/>
        <w:wordWrap/>
        <w:overflowPunct/>
        <w:topLinePunct w:val="0"/>
        <w:autoSpaceDE/>
        <w:autoSpaceDN/>
        <w:bidi w:val="0"/>
        <w:adjustRightInd/>
        <w:spacing w:line="576" w:lineRule="exact"/>
        <w:jc w:val="center"/>
        <w:textAlignment w:val="auto"/>
        <w:rPr>
          <w:rFonts w:hint="default" w:ascii="Times New Roman" w:hAnsi="Times New Roman" w:eastAsia="仿宋_GB2312" w:cs="Times New Roman"/>
          <w:b w:val="0"/>
          <w:bCs/>
          <w:sz w:val="32"/>
          <w:szCs w:val="32"/>
        </w:rPr>
      </w:pPr>
    </w:p>
    <w:p w14:paraId="109426C2">
      <w:pPr>
        <w:keepNext w:val="0"/>
        <w:keepLines w:val="0"/>
        <w:pageBreakBefore w:val="0"/>
        <w:widowControl w:val="0"/>
        <w:kinsoku/>
        <w:wordWrap/>
        <w:overflowPunct/>
        <w:topLinePunct w:val="0"/>
        <w:autoSpaceDE/>
        <w:autoSpaceDN/>
        <w:bidi w:val="0"/>
        <w:adjustRightInd/>
        <w:snapToGrid/>
        <w:spacing w:line="576" w:lineRule="exact"/>
        <w:ind w:firstLine="5440" w:firstLineChars="17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val="0"/>
          <w:bCs/>
          <w:sz w:val="32"/>
          <w:szCs w:val="32"/>
        </w:rPr>
        <w:t>通市环建字</w:t>
      </w:r>
      <w:r>
        <w:rPr>
          <w:rFonts w:hint="default" w:ascii="Times New Roman" w:hAnsi="Times New Roman" w:eastAsia="仿宋_GB2312" w:cs="Times New Roman"/>
          <w:b w:val="0"/>
          <w:bCs/>
          <w:sz w:val="32"/>
          <w:szCs w:val="32"/>
          <w:lang w:eastAsia="zh-CN"/>
        </w:rPr>
        <w:t>〔</w:t>
      </w:r>
      <w:r>
        <w:rPr>
          <w:rFonts w:hint="default" w:ascii="Times New Roman" w:hAnsi="Times New Roman" w:eastAsia="仿宋_GB2312" w:cs="Times New Roman"/>
          <w:b w:val="0"/>
          <w:bCs/>
          <w:sz w:val="32"/>
          <w:szCs w:val="32"/>
        </w:rPr>
        <w:t>20</w:t>
      </w:r>
      <w:r>
        <w:rPr>
          <w:rFonts w:hint="default" w:ascii="Times New Roman" w:hAnsi="Times New Roman" w:eastAsia="仿宋_GB2312" w:cs="Times New Roman"/>
          <w:b w:val="0"/>
          <w:bCs/>
          <w:sz w:val="32"/>
          <w:szCs w:val="32"/>
          <w:lang w:val="en-US" w:eastAsia="zh-CN"/>
        </w:rPr>
        <w:t>26</w:t>
      </w:r>
      <w:r>
        <w:rPr>
          <w:rFonts w:hint="default" w:ascii="Times New Roman" w:hAnsi="Times New Roman" w:eastAsia="仿宋_GB2312" w:cs="Times New Roman"/>
          <w:b w:val="0"/>
          <w:bCs/>
          <w:sz w:val="32"/>
          <w:szCs w:val="32"/>
          <w:lang w:eastAsia="zh-CN"/>
        </w:rPr>
        <w:t>〕</w:t>
      </w:r>
      <w:r>
        <w:rPr>
          <w:rFonts w:hint="eastAsia" w:ascii="Times New Roman" w:hAnsi="Times New Roman" w:eastAsia="仿宋_GB2312" w:cs="Times New Roman"/>
          <w:b w:val="0"/>
          <w:bCs/>
          <w:sz w:val="32"/>
          <w:szCs w:val="32"/>
          <w:lang w:val="en-US" w:eastAsia="zh-CN"/>
        </w:rPr>
        <w:t>2</w:t>
      </w:r>
      <w:r>
        <w:rPr>
          <w:rFonts w:hint="default" w:ascii="Times New Roman" w:hAnsi="Times New Roman" w:eastAsia="仿宋_GB2312" w:cs="Times New Roman"/>
          <w:b w:val="0"/>
          <w:bCs/>
          <w:sz w:val="32"/>
          <w:szCs w:val="32"/>
        </w:rPr>
        <w:t>号</w:t>
      </w:r>
    </w:p>
    <w:p w14:paraId="21AD0F06">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default" w:ascii="Times New Roman" w:hAnsi="Times New Roman" w:eastAsia="仿宋_GB2312" w:cs="Times New Roman"/>
          <w:b w:val="0"/>
          <w:bCs w:val="0"/>
          <w:sz w:val="32"/>
          <w:szCs w:val="32"/>
        </w:rPr>
      </w:pPr>
    </w:p>
    <w:p w14:paraId="50D57528">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default" w:ascii="方正小标宋简体" w:hAnsi="方正小标宋简体" w:eastAsia="方正小标宋简体" w:cs="方正小标宋简体"/>
          <w:b w:val="0"/>
          <w:bCs w:val="0"/>
          <w:sz w:val="44"/>
          <w:szCs w:val="44"/>
          <w:lang w:val="en-US" w:eastAsia="zh-CN"/>
        </w:rPr>
      </w:pPr>
      <w:r>
        <w:rPr>
          <w:rFonts w:hint="default" w:ascii="方正小标宋简体" w:hAnsi="方正小标宋简体" w:eastAsia="方正小标宋简体" w:cs="方正小标宋简体"/>
          <w:b w:val="0"/>
          <w:bCs w:val="0"/>
          <w:sz w:val="44"/>
          <w:szCs w:val="44"/>
          <w:lang w:val="en-US" w:eastAsia="zh-CN"/>
        </w:rPr>
        <w:t>关于辉南县辉发城镇华壮家庭农场肉牛养殖</w:t>
      </w:r>
    </w:p>
    <w:p w14:paraId="6794725D">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default" w:ascii="方正小标宋简体" w:hAnsi="方正小标宋简体" w:eastAsia="方正小标宋简体" w:cs="方正小标宋简体"/>
          <w:b w:val="0"/>
          <w:bCs w:val="0"/>
          <w:sz w:val="44"/>
          <w:szCs w:val="44"/>
          <w:lang w:val="en-US" w:eastAsia="zh-CN"/>
        </w:rPr>
      </w:pPr>
      <w:r>
        <w:rPr>
          <w:rFonts w:hint="default" w:ascii="方正小标宋简体" w:hAnsi="方正小标宋简体" w:eastAsia="方正小标宋简体" w:cs="方正小标宋简体"/>
          <w:b w:val="0"/>
          <w:bCs w:val="0"/>
          <w:sz w:val="44"/>
          <w:szCs w:val="44"/>
          <w:lang w:val="en-US" w:eastAsia="zh-CN"/>
        </w:rPr>
        <w:t>建设项目环境影响报告书的批复</w:t>
      </w:r>
    </w:p>
    <w:p w14:paraId="3CB2B4C7">
      <w:pPr>
        <w:keepNext w:val="0"/>
        <w:keepLines w:val="0"/>
        <w:pageBreakBefore w:val="0"/>
        <w:widowControl w:val="0"/>
        <w:kinsoku/>
        <w:wordWrap/>
        <w:overflowPunct/>
        <w:topLinePunct w:val="0"/>
        <w:autoSpaceDE/>
        <w:autoSpaceDN/>
        <w:bidi w:val="0"/>
        <w:adjustRightInd/>
        <w:snapToGrid/>
        <w:spacing w:line="576" w:lineRule="exact"/>
        <w:ind w:firstLine="4803" w:firstLineChars="1501"/>
        <w:textAlignment w:val="auto"/>
        <w:rPr>
          <w:rFonts w:hint="default" w:ascii="Times New Roman" w:hAnsi="Times New Roman" w:eastAsia="仿宋_GB2312" w:cs="Times New Roman"/>
          <w:b w:val="0"/>
          <w:bCs w:val="0"/>
          <w:sz w:val="32"/>
          <w:szCs w:val="32"/>
          <w:u w:val="none"/>
          <w:lang w:val="en-US" w:eastAsia="zh-CN"/>
        </w:rPr>
      </w:pPr>
      <w:r>
        <w:rPr>
          <w:rFonts w:hint="default" w:ascii="Times New Roman" w:hAnsi="Times New Roman" w:eastAsia="仿宋_GB2312" w:cs="Times New Roman"/>
          <w:b w:val="0"/>
          <w:bCs w:val="0"/>
          <w:sz w:val="32"/>
          <w:szCs w:val="32"/>
          <w:u w:val="none"/>
          <w:lang w:val="en-US" w:eastAsia="zh-CN"/>
        </w:rPr>
        <w:t xml:space="preserve"> </w:t>
      </w:r>
    </w:p>
    <w:p w14:paraId="340A8402">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仿宋_GB2312" w:cs="Times New Roman"/>
          <w:b w:val="0"/>
          <w:bCs w:val="0"/>
          <w:sz w:val="32"/>
          <w:szCs w:val="32"/>
          <w:u w:val="none"/>
          <w:lang w:val="en-US" w:eastAsia="zh-CN"/>
        </w:rPr>
      </w:pPr>
      <w:r>
        <w:rPr>
          <w:rFonts w:hint="default" w:ascii="Times New Roman" w:hAnsi="Times New Roman" w:eastAsia="仿宋_GB2312" w:cs="Times New Roman"/>
          <w:b w:val="0"/>
          <w:bCs w:val="0"/>
          <w:sz w:val="32"/>
          <w:szCs w:val="32"/>
          <w:u w:val="none"/>
          <w:lang w:val="en-US" w:eastAsia="zh-CN"/>
        </w:rPr>
        <w:t>辉南县辉发城镇华壮家庭农场：</w:t>
      </w:r>
    </w:p>
    <w:p w14:paraId="5FF34453">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b w:val="0"/>
          <w:bCs w:val="0"/>
          <w:sz w:val="32"/>
          <w:szCs w:val="32"/>
          <w:u w:val="none"/>
          <w:lang w:val="en-US" w:eastAsia="zh-CN"/>
        </w:rPr>
      </w:pPr>
      <w:r>
        <w:rPr>
          <w:rFonts w:hint="default" w:ascii="Times New Roman" w:hAnsi="Times New Roman" w:eastAsia="仿宋_GB2312" w:cs="Times New Roman"/>
          <w:b w:val="0"/>
          <w:bCs w:val="0"/>
          <w:sz w:val="32"/>
          <w:szCs w:val="32"/>
          <w:u w:val="none"/>
          <w:lang w:val="en-US" w:eastAsia="zh-CN"/>
        </w:rPr>
        <w:t>你单位</w:t>
      </w:r>
      <w:r>
        <w:rPr>
          <w:rFonts w:hint="eastAsia" w:ascii="Times New Roman" w:hAnsi="Times New Roman" w:eastAsia="仿宋_GB2312" w:cs="Times New Roman"/>
          <w:b w:val="0"/>
          <w:bCs w:val="0"/>
          <w:sz w:val="32"/>
          <w:szCs w:val="32"/>
          <w:u w:val="none"/>
          <w:lang w:val="en-US" w:eastAsia="zh-CN"/>
        </w:rPr>
        <w:t>《</w:t>
      </w:r>
      <w:r>
        <w:rPr>
          <w:rFonts w:hint="default" w:ascii="Times New Roman" w:hAnsi="Times New Roman" w:eastAsia="仿宋_GB2312" w:cs="Times New Roman"/>
          <w:b w:val="0"/>
          <w:bCs w:val="0"/>
          <w:sz w:val="32"/>
          <w:szCs w:val="32"/>
          <w:u w:val="none"/>
          <w:lang w:val="en-US" w:eastAsia="zh-CN"/>
        </w:rPr>
        <w:t>关于&lt;辉南县辉发城镇华壮家庭农场肉牛养殖建设项目环境影响报告书&gt;审批申请》及委托长春市中科环境技术服务有限公司编制的环境影响报告书（报批版）收悉。经研究，现批复如下：</w:t>
      </w:r>
    </w:p>
    <w:p w14:paraId="74A59D83">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b w:val="0"/>
          <w:bCs w:val="0"/>
          <w:sz w:val="32"/>
          <w:szCs w:val="32"/>
          <w:u w:val="none"/>
          <w:lang w:val="en-US" w:eastAsia="zh-CN"/>
        </w:rPr>
      </w:pPr>
      <w:r>
        <w:rPr>
          <w:rFonts w:hint="eastAsia" w:ascii="黑体" w:hAnsi="黑体" w:eastAsia="黑体" w:cs="黑体"/>
          <w:b w:val="0"/>
          <w:bCs w:val="0"/>
          <w:sz w:val="32"/>
          <w:szCs w:val="32"/>
          <w:u w:val="none"/>
          <w:lang w:val="en-US" w:eastAsia="zh-CN"/>
        </w:rPr>
        <w:t>一、</w:t>
      </w:r>
      <w:r>
        <w:rPr>
          <w:rFonts w:hint="default" w:ascii="Times New Roman" w:hAnsi="Times New Roman" w:eastAsia="仿宋_GB2312" w:cs="Times New Roman"/>
          <w:b w:val="0"/>
          <w:bCs w:val="0"/>
          <w:sz w:val="32"/>
          <w:szCs w:val="32"/>
          <w:u w:val="none"/>
          <w:lang w:val="en-US" w:eastAsia="zh-CN"/>
        </w:rPr>
        <w:t>辉南县辉发城镇华壮家庭农场肉牛养殖建设项目位于辉南县辉发城镇星光村，项目中心坐标为126.2461782°，北纬42.7205612°。该项目属于改扩建项目，由原吉林省辉南县辉发城镇华壮家庭农场（肉牛养殖规模450头）、吉林省辉南县辉发城镇华阳家庭农场（肉牛养殖规模300头）、吉林省辉南县辉发城镇华根家庭农场（肉牛养殖规模400头）三家农场整合而成，整合后属于规模化畜禽养殖项目，该项目由主体工程、辅助工程、公用工程、环保工程及储运工程构成，项目不新增占地，厂区不设置牛运动场，不存放青贮饲料。主要建设内容为新建1栋牛舍及1栋储粪池，依托原有的15栋牛舍、1栋拌料库、2栋饲料库、1栋草库、1栋多功能办公室及办公区等现有设施进行建设，建成后形成16栋牛舍的养殖规模。该项目育肥牛来源为外购架子牛，设计年存栏肉牛2000头，年出栏育肥牛2000头。</w:t>
      </w:r>
    </w:p>
    <w:p w14:paraId="6308232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b w:val="0"/>
          <w:bCs w:val="0"/>
          <w:sz w:val="32"/>
          <w:szCs w:val="32"/>
          <w:u w:val="none"/>
          <w:lang w:val="en-US" w:eastAsia="zh-CN"/>
        </w:rPr>
      </w:pPr>
      <w:r>
        <w:rPr>
          <w:rFonts w:hint="default" w:ascii="Times New Roman" w:hAnsi="Times New Roman" w:eastAsia="仿宋_GB2312" w:cs="Times New Roman"/>
          <w:b w:val="0"/>
          <w:bCs w:val="0"/>
          <w:sz w:val="32"/>
          <w:szCs w:val="32"/>
          <w:u w:val="none"/>
          <w:lang w:val="en-US" w:eastAsia="zh-CN"/>
        </w:rPr>
        <w:t>该项目符合国家产业政策，符合通化市生态环境分区管控和准入要求，选址符合《辉南县畜禽养殖禁养区划定方案》要求。建设单位在全面落实环境影响报告书提出的各项污染防治及环境风险防范措施后，项目建设对环境的不利影响能够得到缓解和控制。因此，从生态环境保护角度分析，我局原则同意环境影响报告书中所列建设项目的性质、规模、工艺、地点和拟采取的环境保护措施。</w:t>
      </w:r>
    </w:p>
    <w:p w14:paraId="5E144732">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b w:val="0"/>
          <w:bCs w:val="0"/>
          <w:sz w:val="32"/>
          <w:szCs w:val="32"/>
          <w:u w:val="none"/>
          <w:lang w:val="en-US" w:eastAsia="zh-CN"/>
        </w:rPr>
      </w:pPr>
      <w:r>
        <w:rPr>
          <w:rFonts w:hint="eastAsia" w:ascii="黑体" w:hAnsi="黑体" w:eastAsia="黑体" w:cs="黑体"/>
          <w:b w:val="0"/>
          <w:bCs w:val="0"/>
          <w:sz w:val="32"/>
          <w:szCs w:val="32"/>
          <w:u w:val="none"/>
          <w:lang w:val="en-US" w:eastAsia="zh-CN"/>
        </w:rPr>
        <w:t>二、项目建设与运营中要重点做好以下工作</w:t>
      </w:r>
    </w:p>
    <w:p w14:paraId="15564FD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b w:val="0"/>
          <w:bCs w:val="0"/>
          <w:sz w:val="32"/>
          <w:szCs w:val="32"/>
          <w:u w:val="none"/>
          <w:lang w:val="en-US" w:eastAsia="zh-CN"/>
        </w:rPr>
      </w:pPr>
      <w:r>
        <w:rPr>
          <w:rFonts w:hint="default" w:ascii="Times New Roman" w:hAnsi="Times New Roman" w:eastAsia="仿宋_GB2312" w:cs="Times New Roman"/>
          <w:b w:val="0"/>
          <w:bCs w:val="0"/>
          <w:sz w:val="32"/>
          <w:szCs w:val="32"/>
          <w:u w:val="none"/>
          <w:lang w:val="en-US" w:eastAsia="zh-CN"/>
        </w:rPr>
        <w:t>（一）严格落实地表水污染防治措施。施工废水须经沉淀池沉淀处理后，回用于施工和施工场地降尘，不得外排。该项目厂区排水系统须采用雨污分流制。养殖废水（含牛尿）须排入牛舍储粪与储尿槽内，与牛粪一并收集后暂存于储粪池，定期外售吉林省</w:t>
      </w:r>
      <w:r>
        <w:rPr>
          <w:rFonts w:hint="eastAsia" w:ascii="Times New Roman" w:hAnsi="Times New Roman" w:eastAsia="仿宋_GB2312" w:cs="Times New Roman"/>
          <w:b w:val="0"/>
          <w:bCs w:val="0"/>
          <w:sz w:val="32"/>
          <w:szCs w:val="32"/>
          <w:u w:val="none"/>
          <w:lang w:val="en-US" w:eastAsia="zh-CN"/>
        </w:rPr>
        <w:t>玖</w:t>
      </w:r>
      <w:r>
        <w:rPr>
          <w:rFonts w:hint="default" w:ascii="Times New Roman" w:hAnsi="Times New Roman" w:eastAsia="仿宋_GB2312" w:cs="Times New Roman"/>
          <w:b w:val="0"/>
          <w:bCs w:val="0"/>
          <w:sz w:val="32"/>
          <w:szCs w:val="32"/>
          <w:u w:val="none"/>
          <w:lang w:val="en-US" w:eastAsia="zh-CN"/>
        </w:rPr>
        <w:t>焱生物科技有限公司用于生产有机肥。生活污水及经隔油预处理后的餐饮废水须排入防渗厕所，定期清掏用于制农肥。</w:t>
      </w:r>
    </w:p>
    <w:p w14:paraId="562B01CD">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b w:val="0"/>
          <w:bCs w:val="0"/>
          <w:sz w:val="32"/>
          <w:szCs w:val="32"/>
          <w:u w:val="none"/>
          <w:lang w:val="en-US" w:eastAsia="zh-CN"/>
        </w:rPr>
      </w:pPr>
      <w:r>
        <w:rPr>
          <w:rFonts w:hint="default" w:ascii="Times New Roman" w:hAnsi="Times New Roman" w:eastAsia="仿宋_GB2312" w:cs="Times New Roman"/>
          <w:b w:val="0"/>
          <w:bCs w:val="0"/>
          <w:sz w:val="32"/>
          <w:szCs w:val="32"/>
          <w:u w:val="none"/>
          <w:lang w:val="en-US" w:eastAsia="zh-CN"/>
        </w:rPr>
        <w:t>（二）严格落实大气污染防治措施。建设单位须避免在大风天气施工；土方开挖时须对作业面进行洒水降尘；对施工场地及施工道路地面进行硬化并洒水降尘，施工场地四周设置全围挡；修建水喷淋装置和防渗的车辆冲洗池，冲洗运输车辆厢体及轮胎上的泥土和粉尘；采用全封闭车辆运输建筑材料，原辅材料须集中堆放并遮盖，减轻二次扬尘污染。</w:t>
      </w:r>
    </w:p>
    <w:p w14:paraId="2992004D">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b w:val="0"/>
          <w:bCs w:val="0"/>
          <w:sz w:val="32"/>
          <w:szCs w:val="32"/>
          <w:u w:val="none"/>
          <w:lang w:val="en-US" w:eastAsia="zh-CN"/>
        </w:rPr>
      </w:pPr>
      <w:r>
        <w:rPr>
          <w:rFonts w:hint="default" w:ascii="Times New Roman" w:hAnsi="Times New Roman" w:eastAsia="仿宋_GB2312" w:cs="Times New Roman"/>
          <w:b w:val="0"/>
          <w:bCs w:val="0"/>
          <w:sz w:val="32"/>
          <w:szCs w:val="32"/>
          <w:u w:val="none"/>
          <w:lang w:val="en-US" w:eastAsia="zh-CN"/>
        </w:rPr>
        <w:t>项目</w:t>
      </w:r>
      <w:r>
        <w:rPr>
          <w:rFonts w:hint="eastAsia" w:ascii="Times New Roman" w:hAnsi="Times New Roman" w:eastAsia="仿宋_GB2312" w:cs="Times New Roman"/>
          <w:b w:val="0"/>
          <w:bCs w:val="0"/>
          <w:sz w:val="32"/>
          <w:szCs w:val="32"/>
          <w:u w:val="none"/>
          <w:lang w:val="en-US" w:eastAsia="zh-CN"/>
        </w:rPr>
        <w:t>采用电取暖，无其他各类</w:t>
      </w:r>
      <w:r>
        <w:rPr>
          <w:rFonts w:hint="default" w:ascii="Times New Roman" w:hAnsi="Times New Roman" w:eastAsia="仿宋_GB2312" w:cs="Times New Roman"/>
          <w:b w:val="0"/>
          <w:bCs w:val="0"/>
          <w:sz w:val="32"/>
          <w:szCs w:val="32"/>
          <w:u w:val="none"/>
          <w:lang w:val="en-US" w:eastAsia="zh-CN"/>
        </w:rPr>
        <w:t>锅炉。运营期食堂油烟须经有效装置处理，确保其排放浓度满足《饮食业油烟排放标准（试行）》（GB18483-2001）中标准要求后，经专用烟道排放。严格落实运营期无组织废气排放管控措施。须采取及时清理牛舍的粪污，对牛舍、储粪池定期喷洒除臭剂；加强厂区周围绿化等措施。确保氨气、硫化氢厂界浓度和臭气浓度满足《恶臭污染物排放标准》（GB14554-93）表1中标准要求，颗粒物厂界排放浓度满足《大气污染物综合排放标准》（GB16297-1996）表2中标准要求。</w:t>
      </w:r>
    </w:p>
    <w:p w14:paraId="0420F57E">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b w:val="0"/>
          <w:bCs w:val="0"/>
          <w:sz w:val="32"/>
          <w:szCs w:val="32"/>
          <w:u w:val="none"/>
          <w:lang w:val="en-US" w:eastAsia="zh-CN"/>
        </w:rPr>
      </w:pPr>
      <w:r>
        <w:rPr>
          <w:rFonts w:hint="default" w:ascii="Times New Roman" w:hAnsi="Times New Roman" w:eastAsia="仿宋_GB2312" w:cs="Times New Roman"/>
          <w:b w:val="0"/>
          <w:bCs w:val="0"/>
          <w:sz w:val="32"/>
          <w:szCs w:val="32"/>
          <w:u w:val="none"/>
          <w:lang w:val="en-US" w:eastAsia="zh-CN"/>
        </w:rPr>
        <w:t>（三）严格落实地下水和土壤污染防治措施。建设单位须坚持源头控制、分区防控、跟踪监测和应急响应的原则，结合环境保护目标的敏感程度、项目平面布局、水文地质条件等实际情况，落实地下水分区防渗措施，运营期加强对厂区污染防治设施的日常巡检和维护，制定并落实有效的地下水、土壤监控方案，及时按照有关标准和技术规范增补措施，避免污染地下水和土壤环境。</w:t>
      </w:r>
    </w:p>
    <w:p w14:paraId="0154CF0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b w:val="0"/>
          <w:bCs w:val="0"/>
          <w:sz w:val="32"/>
          <w:szCs w:val="32"/>
          <w:u w:val="none"/>
          <w:lang w:val="en-US" w:eastAsia="zh-CN"/>
        </w:rPr>
      </w:pPr>
      <w:r>
        <w:rPr>
          <w:rFonts w:hint="default" w:ascii="Times New Roman" w:hAnsi="Times New Roman" w:eastAsia="仿宋_GB2312" w:cs="Times New Roman"/>
          <w:b w:val="0"/>
          <w:bCs w:val="0"/>
          <w:sz w:val="32"/>
          <w:szCs w:val="32"/>
          <w:u w:val="none"/>
          <w:lang w:val="en-US" w:eastAsia="zh-CN"/>
        </w:rPr>
        <w:t>（四）严格落实噪声污染防治措施。须采取选用低噪声设备；设备底部安装减振基础；合理安排施工时间，禁止夜间施工，避免同时集中使用高噪声设备；定期对施工机械设备进行维修保养，</w:t>
      </w:r>
      <w:r>
        <w:rPr>
          <w:rFonts w:hint="eastAsia" w:ascii="Times New Roman" w:hAnsi="Times New Roman" w:eastAsia="仿宋_GB2312" w:cs="Times New Roman"/>
          <w:b w:val="0"/>
          <w:bCs w:val="0"/>
          <w:sz w:val="32"/>
          <w:szCs w:val="32"/>
          <w:u w:val="none"/>
          <w:lang w:val="en-US" w:eastAsia="zh-CN"/>
        </w:rPr>
        <w:t>保障</w:t>
      </w:r>
      <w:r>
        <w:rPr>
          <w:rFonts w:hint="default" w:ascii="Times New Roman" w:hAnsi="Times New Roman" w:eastAsia="仿宋_GB2312" w:cs="Times New Roman"/>
          <w:b w:val="0"/>
          <w:bCs w:val="0"/>
          <w:sz w:val="32"/>
          <w:szCs w:val="32"/>
          <w:u w:val="none"/>
          <w:lang w:val="en-US" w:eastAsia="zh-CN"/>
        </w:rPr>
        <w:t>其正常运转，确保施工厂界噪声满足《建筑施工噪声排放标准》（GB12523-2025）表1中标准要求及运营期厂界噪声满足《工业企业厂界环境噪声排放标准》（GB12348-2008）中2类标准要求。施工期和运营期运输车辆途经附近村屯时须严禁鸣笛并控制车速和减少夜间行车次数，确保沿线居民区声环境质量满足《声环境质量标准》（GB3096-2008）中相应标准要求。</w:t>
      </w:r>
    </w:p>
    <w:p w14:paraId="0AC96543">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b w:val="0"/>
          <w:bCs w:val="0"/>
          <w:sz w:val="32"/>
          <w:szCs w:val="32"/>
          <w:u w:val="none"/>
          <w:lang w:val="en-US" w:eastAsia="zh-CN"/>
        </w:rPr>
      </w:pPr>
      <w:r>
        <w:rPr>
          <w:rFonts w:hint="default" w:ascii="Times New Roman" w:hAnsi="Times New Roman" w:eastAsia="仿宋_GB2312" w:cs="Times New Roman"/>
          <w:b w:val="0"/>
          <w:bCs w:val="0"/>
          <w:sz w:val="32"/>
          <w:szCs w:val="32"/>
          <w:u w:val="none"/>
          <w:lang w:val="en-US" w:eastAsia="zh-CN"/>
        </w:rPr>
        <w:t>（五）严格落实固体废物污染防治措施。建筑垃圾收集后须运至辉南县政府指定的建筑垃圾处理场处理；牛粪须暂存于储粪池内，定期外售吉林省</w:t>
      </w:r>
      <w:r>
        <w:rPr>
          <w:rFonts w:hint="eastAsia" w:ascii="Times New Roman" w:hAnsi="Times New Roman" w:eastAsia="仿宋_GB2312" w:cs="Times New Roman"/>
          <w:b w:val="0"/>
          <w:bCs w:val="0"/>
          <w:sz w:val="32"/>
          <w:szCs w:val="32"/>
          <w:u w:val="none"/>
          <w:lang w:val="en-US" w:eastAsia="zh-CN"/>
        </w:rPr>
        <w:t>玖</w:t>
      </w:r>
      <w:r>
        <w:rPr>
          <w:rFonts w:hint="default" w:ascii="Times New Roman" w:hAnsi="Times New Roman" w:eastAsia="仿宋_GB2312" w:cs="Times New Roman"/>
          <w:b w:val="0"/>
          <w:bCs w:val="0"/>
          <w:sz w:val="32"/>
          <w:szCs w:val="32"/>
          <w:u w:val="none"/>
          <w:lang w:val="en-US" w:eastAsia="zh-CN"/>
        </w:rPr>
        <w:t>焱生物科技有限公司用于生产有机肥；病死牛须由辉南县长江病死动物无害化处理服务中心统一进行无害化处理；防疫废物须暂存于防疫废物桶内，定期由辉南县畜牧部门统一回收处置；餐厨垃圾（含废油脂）须委托有资质单位处理；废包装物、生活垃圾集中收集委托环卫部门处理。</w:t>
      </w:r>
    </w:p>
    <w:p w14:paraId="451F9E0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b w:val="0"/>
          <w:bCs w:val="0"/>
          <w:sz w:val="32"/>
          <w:szCs w:val="32"/>
          <w:u w:val="none"/>
          <w:lang w:val="en-US" w:eastAsia="zh-CN"/>
        </w:rPr>
      </w:pPr>
      <w:r>
        <w:rPr>
          <w:rFonts w:hint="default" w:ascii="Times New Roman" w:hAnsi="Times New Roman" w:eastAsia="仿宋_GB2312" w:cs="Times New Roman"/>
          <w:b w:val="0"/>
          <w:bCs w:val="0"/>
          <w:sz w:val="32"/>
          <w:szCs w:val="32"/>
          <w:u w:val="none"/>
          <w:lang w:val="en-US" w:eastAsia="zh-CN"/>
        </w:rPr>
        <w:t>（六）严格落实环境风险防范措施。建设单位须严格按照相关规范进行设计，合理进行厂区总平面布局，在可能发生爆炸/火灾的场所内安装消防装置及报警装置；对运输粪污废水的车辆进行严格监控；依托并不断完善环境风险防控体系，提高员工的环境风险防范意识，定期进行环境风险隐患排查，制定具有可操作性的突发环境事件应急预案，并到生态环境部门和有关部门备案，同时开展经常性演练，防止发生环境风险事故。</w:t>
      </w:r>
    </w:p>
    <w:p w14:paraId="2E812A23">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b w:val="0"/>
          <w:bCs w:val="0"/>
          <w:sz w:val="32"/>
          <w:szCs w:val="32"/>
          <w:u w:val="none"/>
          <w:lang w:val="en-US" w:eastAsia="zh-CN"/>
        </w:rPr>
      </w:pPr>
      <w:r>
        <w:rPr>
          <w:rFonts w:hint="default" w:ascii="Times New Roman" w:hAnsi="Times New Roman" w:eastAsia="仿宋_GB2312" w:cs="Times New Roman"/>
          <w:b w:val="0"/>
          <w:bCs w:val="0"/>
          <w:sz w:val="32"/>
          <w:szCs w:val="32"/>
          <w:u w:val="none"/>
          <w:lang w:val="en-US" w:eastAsia="zh-CN"/>
        </w:rPr>
        <w:t>（七）严格落实环评文件中提出的环境监测计划，定期委托有资质的监测机构对废水、废气、土壤及噪声和厂区附近环境空气、土壤、地下水环境进行监测，发现超标现象，须及时采取整改措施，确保废水（气）、噪声等达标排放，降低对区域生态环境的不利影响。</w:t>
      </w:r>
    </w:p>
    <w:p w14:paraId="64ACAE5D">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b w:val="0"/>
          <w:bCs w:val="0"/>
          <w:sz w:val="32"/>
          <w:szCs w:val="32"/>
          <w:u w:val="none"/>
          <w:lang w:val="en-US" w:eastAsia="zh-CN"/>
        </w:rPr>
      </w:pPr>
      <w:r>
        <w:rPr>
          <w:rFonts w:hint="default" w:ascii="Times New Roman" w:hAnsi="Times New Roman" w:eastAsia="仿宋_GB2312" w:cs="Times New Roman"/>
          <w:b w:val="0"/>
          <w:bCs w:val="0"/>
          <w:sz w:val="32"/>
          <w:szCs w:val="32"/>
          <w:u w:val="none"/>
          <w:lang w:val="en-US" w:eastAsia="zh-CN"/>
        </w:rPr>
        <w:t>（八）建设单位应依据《建设项目环境影响后评价管理办法（试行）》（环境保护部第37号令）中相关要求开展环境影响后评价。</w:t>
      </w:r>
    </w:p>
    <w:p w14:paraId="6237AF09">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b w:val="0"/>
          <w:bCs w:val="0"/>
          <w:sz w:val="32"/>
          <w:szCs w:val="32"/>
          <w:u w:val="none"/>
          <w:lang w:val="en-US" w:eastAsia="zh-CN"/>
        </w:rPr>
      </w:pPr>
      <w:r>
        <w:rPr>
          <w:rFonts w:hint="eastAsia" w:ascii="黑体" w:hAnsi="黑体" w:eastAsia="黑体" w:cs="黑体"/>
          <w:b w:val="0"/>
          <w:bCs w:val="0"/>
          <w:sz w:val="32"/>
          <w:szCs w:val="32"/>
          <w:u w:val="none"/>
          <w:lang w:val="en-US" w:eastAsia="zh-CN"/>
        </w:rPr>
        <w:t>三、</w:t>
      </w:r>
      <w:r>
        <w:rPr>
          <w:rFonts w:hint="default" w:ascii="Times New Roman" w:hAnsi="Times New Roman" w:eastAsia="仿宋_GB2312" w:cs="Times New Roman"/>
          <w:b w:val="0"/>
          <w:bCs w:val="0"/>
          <w:sz w:val="32"/>
          <w:szCs w:val="32"/>
          <w:u w:val="none"/>
          <w:lang w:val="en-US" w:eastAsia="zh-CN"/>
        </w:rPr>
        <w:t>项目建设必须严格执行环境保护设施与主体工程同时设计、同时施工、同时投产使用的环境保护“三同时”制度。项目竣工后须按照相关法律法规及生态环境部规定的标准和程序对建设项目配套建设的环境保护设施进行验收并依法公开验收报告。</w:t>
      </w:r>
    </w:p>
    <w:p w14:paraId="29E9365A">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b w:val="0"/>
          <w:bCs w:val="0"/>
          <w:sz w:val="32"/>
          <w:szCs w:val="32"/>
          <w:u w:val="none"/>
          <w:lang w:val="en-US" w:eastAsia="zh-CN"/>
        </w:rPr>
      </w:pPr>
      <w:r>
        <w:rPr>
          <w:rFonts w:hint="eastAsia" w:ascii="黑体" w:hAnsi="黑体" w:eastAsia="黑体" w:cs="黑体"/>
          <w:b w:val="0"/>
          <w:bCs w:val="0"/>
          <w:sz w:val="32"/>
          <w:szCs w:val="32"/>
          <w:u w:val="none"/>
          <w:lang w:val="en-US" w:eastAsia="zh-CN"/>
        </w:rPr>
        <w:t>四、</w:t>
      </w:r>
      <w:r>
        <w:rPr>
          <w:rFonts w:hint="default" w:ascii="Times New Roman" w:hAnsi="Times New Roman" w:eastAsia="仿宋_GB2312" w:cs="Times New Roman"/>
          <w:b w:val="0"/>
          <w:bCs w:val="0"/>
          <w:sz w:val="32"/>
          <w:szCs w:val="32"/>
          <w:u w:val="none"/>
          <w:lang w:val="en-US" w:eastAsia="zh-CN"/>
        </w:rPr>
        <w:t>环境影响报告书经批准后，项目的性质、规模、工艺、地点或者防止生态破坏、防治污染的措施发生重大变动的，应当在变动前重新报批该项目的环境影响报告</w:t>
      </w:r>
      <w:r>
        <w:rPr>
          <w:rFonts w:hint="eastAsia" w:ascii="Times New Roman" w:hAnsi="Times New Roman" w:eastAsia="仿宋_GB2312" w:cs="Times New Roman"/>
          <w:b w:val="0"/>
          <w:bCs w:val="0"/>
          <w:sz w:val="32"/>
          <w:szCs w:val="32"/>
          <w:u w:val="none"/>
          <w:lang w:val="en-US" w:eastAsia="zh-CN"/>
        </w:rPr>
        <w:t>书</w:t>
      </w:r>
      <w:r>
        <w:rPr>
          <w:rFonts w:hint="default" w:ascii="Times New Roman" w:hAnsi="Times New Roman" w:eastAsia="仿宋_GB2312" w:cs="Times New Roman"/>
          <w:b w:val="0"/>
          <w:bCs w:val="0"/>
          <w:sz w:val="32"/>
          <w:szCs w:val="32"/>
          <w:u w:val="none"/>
          <w:lang w:val="en-US" w:eastAsia="zh-CN"/>
        </w:rPr>
        <w:t>。建设项目环境影响报告</w:t>
      </w:r>
      <w:r>
        <w:rPr>
          <w:rFonts w:hint="eastAsia" w:ascii="Times New Roman" w:hAnsi="Times New Roman" w:eastAsia="仿宋_GB2312" w:cs="Times New Roman"/>
          <w:b w:val="0"/>
          <w:bCs w:val="0"/>
          <w:sz w:val="32"/>
          <w:szCs w:val="32"/>
          <w:u w:val="none"/>
          <w:lang w:val="en-US" w:eastAsia="zh-CN"/>
        </w:rPr>
        <w:t>书</w:t>
      </w:r>
      <w:r>
        <w:rPr>
          <w:rFonts w:hint="default" w:ascii="Times New Roman" w:hAnsi="Times New Roman" w:eastAsia="仿宋_GB2312" w:cs="Times New Roman"/>
          <w:b w:val="0"/>
          <w:bCs w:val="0"/>
          <w:sz w:val="32"/>
          <w:szCs w:val="32"/>
          <w:u w:val="none"/>
          <w:lang w:val="en-US" w:eastAsia="zh-CN"/>
        </w:rPr>
        <w:t>自批复之日起满5年，建设项目方决定开工建设的，其环境影响报告</w:t>
      </w:r>
      <w:r>
        <w:rPr>
          <w:rFonts w:hint="eastAsia" w:ascii="Times New Roman" w:hAnsi="Times New Roman" w:eastAsia="仿宋_GB2312" w:cs="Times New Roman"/>
          <w:b w:val="0"/>
          <w:bCs w:val="0"/>
          <w:sz w:val="32"/>
          <w:szCs w:val="32"/>
          <w:u w:val="none"/>
          <w:lang w:val="en-US" w:eastAsia="zh-CN"/>
        </w:rPr>
        <w:t>书</w:t>
      </w:r>
      <w:r>
        <w:rPr>
          <w:rFonts w:hint="default" w:ascii="Times New Roman" w:hAnsi="Times New Roman" w:eastAsia="仿宋_GB2312" w:cs="Times New Roman"/>
          <w:b w:val="0"/>
          <w:bCs w:val="0"/>
          <w:sz w:val="32"/>
          <w:szCs w:val="32"/>
          <w:u w:val="none"/>
          <w:lang w:val="en-US" w:eastAsia="zh-CN"/>
        </w:rPr>
        <w:t>应当报我局重新审核。</w:t>
      </w:r>
    </w:p>
    <w:p w14:paraId="6946BD3B">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b w:val="0"/>
          <w:bCs w:val="0"/>
          <w:sz w:val="32"/>
          <w:szCs w:val="32"/>
          <w:u w:val="none"/>
          <w:lang w:val="en-US" w:eastAsia="zh-CN"/>
        </w:rPr>
      </w:pPr>
      <w:r>
        <w:rPr>
          <w:rFonts w:hint="eastAsia" w:ascii="黑体" w:hAnsi="黑体" w:eastAsia="黑体" w:cs="黑体"/>
          <w:b w:val="0"/>
          <w:bCs w:val="0"/>
          <w:sz w:val="32"/>
          <w:szCs w:val="32"/>
          <w:u w:val="none"/>
          <w:lang w:val="en-US" w:eastAsia="zh-CN"/>
        </w:rPr>
        <w:t>五、</w:t>
      </w:r>
      <w:r>
        <w:rPr>
          <w:rFonts w:hint="default" w:ascii="Times New Roman" w:hAnsi="Times New Roman" w:eastAsia="仿宋_GB2312" w:cs="Times New Roman"/>
          <w:b w:val="0"/>
          <w:bCs w:val="0"/>
          <w:sz w:val="32"/>
          <w:szCs w:val="32"/>
          <w:u w:val="none"/>
          <w:lang w:val="en-US" w:eastAsia="zh-CN"/>
        </w:rPr>
        <w:t>你单位作为建设项目环评信息公开的主体，在该项目运行过程中，应建立畅通的公众参与平台，及时解决公众关注的环境问题，满足公众合理的环境诉求。应按照《建设项目环境影响评价信息公开机制方案》相关规定，向社会公开相应的环境影响评价信息，主动接受社会监督。</w:t>
      </w:r>
    </w:p>
    <w:p w14:paraId="6DBE764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b w:val="0"/>
          <w:bCs w:val="0"/>
          <w:sz w:val="32"/>
          <w:szCs w:val="32"/>
          <w:u w:val="none"/>
          <w:lang w:val="en-US" w:eastAsia="zh-CN"/>
        </w:rPr>
      </w:pPr>
      <w:r>
        <w:rPr>
          <w:rFonts w:hint="eastAsia" w:ascii="黑体" w:hAnsi="黑体" w:eastAsia="黑体" w:cs="黑体"/>
          <w:b w:val="0"/>
          <w:bCs w:val="0"/>
          <w:sz w:val="32"/>
          <w:szCs w:val="32"/>
          <w:u w:val="none"/>
          <w:lang w:val="en-US" w:eastAsia="zh-CN"/>
        </w:rPr>
        <w:t>六、</w:t>
      </w:r>
      <w:r>
        <w:rPr>
          <w:rFonts w:hint="default" w:ascii="Times New Roman" w:hAnsi="Times New Roman" w:eastAsia="仿宋_GB2312" w:cs="Times New Roman"/>
          <w:b w:val="0"/>
          <w:bCs w:val="0"/>
          <w:sz w:val="32"/>
          <w:szCs w:val="32"/>
          <w:u w:val="none"/>
          <w:lang w:val="en-US" w:eastAsia="zh-CN"/>
        </w:rPr>
        <w:t>请</w:t>
      </w:r>
      <w:r>
        <w:rPr>
          <w:rFonts w:hint="default" w:ascii="Times New Roman" w:hAnsi="Times New Roman" w:eastAsia="仿宋_GB2312" w:cs="Times New Roman"/>
          <w:sz w:val="32"/>
          <w:szCs w:val="32"/>
          <w:highlight w:val="none"/>
          <w:lang w:val="en-US" w:eastAsia="zh-CN"/>
        </w:rPr>
        <w:t>通化市生态环境综合执法支队</w:t>
      </w:r>
      <w:r>
        <w:rPr>
          <w:rFonts w:hint="eastAsia" w:ascii="Times New Roman" w:hAnsi="Times New Roman" w:eastAsia="仿宋_GB2312" w:cs="Times New Roman"/>
          <w:sz w:val="32"/>
          <w:szCs w:val="32"/>
          <w:highlight w:val="none"/>
          <w:lang w:val="en-US" w:eastAsia="zh-CN"/>
        </w:rPr>
        <w:t>和</w:t>
      </w:r>
      <w:r>
        <w:rPr>
          <w:rFonts w:hint="default" w:ascii="Times New Roman" w:hAnsi="Times New Roman" w:eastAsia="仿宋_GB2312" w:cs="Times New Roman"/>
          <w:b w:val="0"/>
          <w:bCs w:val="0"/>
          <w:sz w:val="32"/>
          <w:szCs w:val="32"/>
          <w:u w:val="none"/>
          <w:lang w:val="en-US" w:eastAsia="zh-CN"/>
        </w:rPr>
        <w:t>通化市生态环境局辉南分局负责该项目的监督检查和环境管理工作。</w:t>
      </w:r>
      <w:bookmarkStart w:id="0" w:name="_GoBack"/>
      <w:bookmarkEnd w:id="0"/>
    </w:p>
    <w:p w14:paraId="66048B4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b w:val="0"/>
          <w:bCs w:val="0"/>
          <w:sz w:val="32"/>
          <w:szCs w:val="32"/>
          <w:u w:val="none"/>
          <w:lang w:val="en-US" w:eastAsia="zh-CN"/>
        </w:rPr>
      </w:pPr>
      <w:r>
        <w:rPr>
          <w:rFonts w:hint="eastAsia" w:ascii="黑体" w:hAnsi="黑体" w:eastAsia="黑体" w:cs="黑体"/>
          <w:b w:val="0"/>
          <w:bCs w:val="0"/>
          <w:sz w:val="32"/>
          <w:szCs w:val="32"/>
          <w:u w:val="none"/>
          <w:lang w:val="en-US" w:eastAsia="zh-CN"/>
        </w:rPr>
        <w:t>七、</w:t>
      </w:r>
      <w:r>
        <w:rPr>
          <w:rFonts w:hint="default" w:ascii="Times New Roman" w:hAnsi="Times New Roman" w:eastAsia="仿宋_GB2312" w:cs="Times New Roman"/>
          <w:b w:val="0"/>
          <w:bCs w:val="0"/>
          <w:sz w:val="32"/>
          <w:szCs w:val="32"/>
          <w:u w:val="none"/>
          <w:lang w:val="en-US" w:eastAsia="zh-CN"/>
        </w:rPr>
        <w:t>你单位应在收到本批复后20个工作日内，将批准后的环境影响报告书及批复文件送至通化市生态环境局辉南分局，并按规定接受各级生态环境主管部门的日常监督检查。</w:t>
      </w:r>
    </w:p>
    <w:p w14:paraId="581DC2C1">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仿宋_GB2312" w:cs="Times New Roman"/>
          <w:b w:val="0"/>
          <w:bCs w:val="0"/>
          <w:sz w:val="32"/>
          <w:szCs w:val="32"/>
          <w:u w:val="none"/>
          <w:lang w:val="en-US" w:eastAsia="zh-CN"/>
        </w:rPr>
      </w:pPr>
    </w:p>
    <w:p w14:paraId="1EA76FFF">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仿宋_GB2312" w:cs="Times New Roman"/>
          <w:b w:val="0"/>
          <w:bCs w:val="0"/>
          <w:sz w:val="32"/>
          <w:szCs w:val="32"/>
          <w:u w:val="none"/>
          <w:lang w:val="en-US" w:eastAsia="zh-CN"/>
        </w:rPr>
      </w:pPr>
    </w:p>
    <w:p w14:paraId="55075F3D">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仿宋_GB2312" w:cs="Times New Roman"/>
          <w:b w:val="0"/>
          <w:bCs w:val="0"/>
          <w:sz w:val="32"/>
          <w:szCs w:val="32"/>
          <w:u w:val="none"/>
          <w:lang w:val="en-US" w:eastAsia="zh-CN"/>
        </w:rPr>
      </w:pPr>
      <w:r>
        <w:rPr>
          <w:rFonts w:hint="default" w:ascii="Times New Roman" w:hAnsi="Times New Roman" w:eastAsia="仿宋_GB2312" w:cs="Times New Roman"/>
          <w:b w:val="0"/>
          <w:bCs w:val="0"/>
          <w:sz w:val="32"/>
          <w:szCs w:val="32"/>
          <w:u w:val="none"/>
          <w:lang w:val="en-US" w:eastAsia="zh-CN"/>
        </w:rPr>
        <w:t xml:space="preserve"> </w:t>
      </w:r>
    </w:p>
    <w:p w14:paraId="098391BF">
      <w:pPr>
        <w:keepNext w:val="0"/>
        <w:keepLines w:val="0"/>
        <w:pageBreakBefore w:val="0"/>
        <w:widowControl w:val="0"/>
        <w:kinsoku/>
        <w:wordWrap/>
        <w:overflowPunct/>
        <w:topLinePunct w:val="0"/>
        <w:autoSpaceDE/>
        <w:autoSpaceDN/>
        <w:bidi w:val="0"/>
        <w:adjustRightInd/>
        <w:snapToGrid/>
        <w:spacing w:line="576" w:lineRule="exact"/>
        <w:ind w:firstLine="5123" w:firstLineChars="1601"/>
        <w:textAlignment w:val="auto"/>
        <w:rPr>
          <w:rFonts w:hint="default" w:ascii="Times New Roman" w:hAnsi="Times New Roman" w:eastAsia="仿宋_GB2312" w:cs="Times New Roman"/>
          <w:b w:val="0"/>
          <w:bCs w:val="0"/>
          <w:sz w:val="32"/>
          <w:szCs w:val="32"/>
          <w:u w:val="none"/>
          <w:lang w:val="en-US" w:eastAsia="zh-CN"/>
        </w:rPr>
      </w:pPr>
      <w:r>
        <w:rPr>
          <w:rFonts w:hint="default" w:ascii="Times New Roman" w:hAnsi="Times New Roman" w:eastAsia="仿宋_GB2312" w:cs="Times New Roman"/>
          <w:b w:val="0"/>
          <w:bCs w:val="0"/>
          <w:sz w:val="32"/>
          <w:szCs w:val="32"/>
          <w:u w:val="none"/>
          <w:lang w:val="en-US" w:eastAsia="zh-CN"/>
        </w:rPr>
        <w:t>通化市生态环境局</w:t>
      </w:r>
    </w:p>
    <w:p w14:paraId="34C98856">
      <w:pPr>
        <w:keepNext w:val="0"/>
        <w:keepLines w:val="0"/>
        <w:pageBreakBefore w:val="0"/>
        <w:widowControl w:val="0"/>
        <w:kinsoku/>
        <w:wordWrap/>
        <w:overflowPunct/>
        <w:topLinePunct w:val="0"/>
        <w:autoSpaceDE/>
        <w:autoSpaceDN/>
        <w:bidi w:val="0"/>
        <w:adjustRightInd/>
        <w:snapToGrid/>
        <w:spacing w:line="576" w:lineRule="exact"/>
        <w:ind w:firstLine="5123" w:firstLineChars="1601"/>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val="0"/>
          <w:bCs w:val="0"/>
          <w:sz w:val="32"/>
          <w:szCs w:val="32"/>
          <w:u w:val="none"/>
          <w:lang w:val="en-US" w:eastAsia="zh-CN"/>
        </w:rPr>
        <w:t>2026年</w:t>
      </w:r>
      <w:r>
        <w:rPr>
          <w:rFonts w:hint="eastAsia" w:ascii="Times New Roman" w:hAnsi="Times New Roman" w:eastAsia="仿宋_GB2312" w:cs="Times New Roman"/>
          <w:b w:val="0"/>
          <w:bCs w:val="0"/>
          <w:sz w:val="32"/>
          <w:szCs w:val="32"/>
          <w:u w:val="none"/>
          <w:lang w:val="en-US" w:eastAsia="zh-CN"/>
        </w:rPr>
        <w:t>5</w:t>
      </w:r>
      <w:r>
        <w:rPr>
          <w:rFonts w:hint="default" w:ascii="Times New Roman" w:hAnsi="Times New Roman" w:eastAsia="仿宋_GB2312" w:cs="Times New Roman"/>
          <w:b w:val="0"/>
          <w:bCs w:val="0"/>
          <w:sz w:val="32"/>
          <w:szCs w:val="32"/>
          <w:u w:val="none"/>
          <w:lang w:val="en-US" w:eastAsia="zh-CN"/>
        </w:rPr>
        <w:t>月7日</w:t>
      </w:r>
    </w:p>
    <w:p w14:paraId="35A2300C">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cs="Times New Roman"/>
        </w:rPr>
      </w:pPr>
    </w:p>
    <w:sectPr>
      <w:footerReference r:id="rId3" w:type="default"/>
      <w:pgSz w:w="11906" w:h="16838"/>
      <w:pgMar w:top="1418" w:right="1531" w:bottom="1134" w:left="1531"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3B855A">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02F63F">
                          <w:pPr>
                            <w:pStyle w:val="5"/>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1402F63F">
                    <w:pPr>
                      <w:pStyle w:val="5"/>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09020CF"/>
    <w:rsid w:val="00577B2A"/>
    <w:rsid w:val="020531A4"/>
    <w:rsid w:val="0341020B"/>
    <w:rsid w:val="03A05D2D"/>
    <w:rsid w:val="03A5079A"/>
    <w:rsid w:val="04D035F5"/>
    <w:rsid w:val="058C1C12"/>
    <w:rsid w:val="05962A91"/>
    <w:rsid w:val="05E324B6"/>
    <w:rsid w:val="07397B77"/>
    <w:rsid w:val="07B93A96"/>
    <w:rsid w:val="0949606C"/>
    <w:rsid w:val="0A7B04A7"/>
    <w:rsid w:val="0AB061A6"/>
    <w:rsid w:val="0B696551"/>
    <w:rsid w:val="0C8B7C21"/>
    <w:rsid w:val="0CEB1914"/>
    <w:rsid w:val="0D643474"/>
    <w:rsid w:val="0E664FCA"/>
    <w:rsid w:val="0EF12AE6"/>
    <w:rsid w:val="0F9D2C6D"/>
    <w:rsid w:val="0FDC19E8"/>
    <w:rsid w:val="10477252"/>
    <w:rsid w:val="109020CF"/>
    <w:rsid w:val="138A3509"/>
    <w:rsid w:val="15671D54"/>
    <w:rsid w:val="15CA22E2"/>
    <w:rsid w:val="16104199"/>
    <w:rsid w:val="17214184"/>
    <w:rsid w:val="17F13B56"/>
    <w:rsid w:val="18583BD5"/>
    <w:rsid w:val="187D363C"/>
    <w:rsid w:val="1AF52032"/>
    <w:rsid w:val="1D5102B1"/>
    <w:rsid w:val="1E3E386E"/>
    <w:rsid w:val="1E6E4D59"/>
    <w:rsid w:val="1E831280"/>
    <w:rsid w:val="1F596B0E"/>
    <w:rsid w:val="1F814123"/>
    <w:rsid w:val="1F933745"/>
    <w:rsid w:val="1FBC2C9C"/>
    <w:rsid w:val="2031368A"/>
    <w:rsid w:val="20B87907"/>
    <w:rsid w:val="217D645B"/>
    <w:rsid w:val="21B91B1C"/>
    <w:rsid w:val="23FE7D27"/>
    <w:rsid w:val="24CD76F9"/>
    <w:rsid w:val="25407ECB"/>
    <w:rsid w:val="26443D24"/>
    <w:rsid w:val="26812549"/>
    <w:rsid w:val="268E625F"/>
    <w:rsid w:val="276D1712"/>
    <w:rsid w:val="29915199"/>
    <w:rsid w:val="2A9211C9"/>
    <w:rsid w:val="2B285689"/>
    <w:rsid w:val="2B3E4EAD"/>
    <w:rsid w:val="2C1D1CAF"/>
    <w:rsid w:val="2C332538"/>
    <w:rsid w:val="2CB27900"/>
    <w:rsid w:val="2D393B7E"/>
    <w:rsid w:val="304F5466"/>
    <w:rsid w:val="30C3032E"/>
    <w:rsid w:val="31772EC7"/>
    <w:rsid w:val="322C1F03"/>
    <w:rsid w:val="324A4137"/>
    <w:rsid w:val="34AA5361"/>
    <w:rsid w:val="35215623"/>
    <w:rsid w:val="37E66DC3"/>
    <w:rsid w:val="3814146F"/>
    <w:rsid w:val="389B393F"/>
    <w:rsid w:val="39316308"/>
    <w:rsid w:val="3986639D"/>
    <w:rsid w:val="3BA7084C"/>
    <w:rsid w:val="3C017F5D"/>
    <w:rsid w:val="3CA60B04"/>
    <w:rsid w:val="3D5F13DF"/>
    <w:rsid w:val="3E495BEB"/>
    <w:rsid w:val="3E6B29EB"/>
    <w:rsid w:val="40095632"/>
    <w:rsid w:val="403A57EB"/>
    <w:rsid w:val="422E7534"/>
    <w:rsid w:val="423170C2"/>
    <w:rsid w:val="42A203F3"/>
    <w:rsid w:val="42C972FA"/>
    <w:rsid w:val="4416031D"/>
    <w:rsid w:val="44F468B0"/>
    <w:rsid w:val="4570474C"/>
    <w:rsid w:val="458D0AB3"/>
    <w:rsid w:val="45C1250B"/>
    <w:rsid w:val="469F1403"/>
    <w:rsid w:val="471072A6"/>
    <w:rsid w:val="47BC11DC"/>
    <w:rsid w:val="4851401A"/>
    <w:rsid w:val="48714FA4"/>
    <w:rsid w:val="487F0B87"/>
    <w:rsid w:val="488241D3"/>
    <w:rsid w:val="48904B42"/>
    <w:rsid w:val="49635DB3"/>
    <w:rsid w:val="4BAA4BA0"/>
    <w:rsid w:val="4C431ECB"/>
    <w:rsid w:val="4CE52F83"/>
    <w:rsid w:val="4EF83441"/>
    <w:rsid w:val="4F21041D"/>
    <w:rsid w:val="4FD92E63"/>
    <w:rsid w:val="51D81308"/>
    <w:rsid w:val="526112FD"/>
    <w:rsid w:val="53004672"/>
    <w:rsid w:val="54C70857"/>
    <w:rsid w:val="55284354"/>
    <w:rsid w:val="56336B0D"/>
    <w:rsid w:val="56865EF2"/>
    <w:rsid w:val="595B6AA6"/>
    <w:rsid w:val="5A7D2A4C"/>
    <w:rsid w:val="5B215ACE"/>
    <w:rsid w:val="5BCB77E7"/>
    <w:rsid w:val="5D4F7BF2"/>
    <w:rsid w:val="5F182D44"/>
    <w:rsid w:val="5F473629"/>
    <w:rsid w:val="603B13E0"/>
    <w:rsid w:val="60545FFD"/>
    <w:rsid w:val="60651FB9"/>
    <w:rsid w:val="60EF5D26"/>
    <w:rsid w:val="65476131"/>
    <w:rsid w:val="658D448B"/>
    <w:rsid w:val="67E1461B"/>
    <w:rsid w:val="68150768"/>
    <w:rsid w:val="69813D2E"/>
    <w:rsid w:val="6A331379"/>
    <w:rsid w:val="6A4946F9"/>
    <w:rsid w:val="6B035252"/>
    <w:rsid w:val="6BAF2C82"/>
    <w:rsid w:val="6BC009EB"/>
    <w:rsid w:val="6D9E29F3"/>
    <w:rsid w:val="6DC347C2"/>
    <w:rsid w:val="6ECD58F9"/>
    <w:rsid w:val="6EDB5CDE"/>
    <w:rsid w:val="742C4ED3"/>
    <w:rsid w:val="74582108"/>
    <w:rsid w:val="74620891"/>
    <w:rsid w:val="74C7103C"/>
    <w:rsid w:val="754D1541"/>
    <w:rsid w:val="795F5CE7"/>
    <w:rsid w:val="79B53B59"/>
    <w:rsid w:val="79E76C84"/>
    <w:rsid w:val="7DA36E89"/>
    <w:rsid w:val="7EF742CC"/>
    <w:rsid w:val="7F052E8D"/>
    <w:rsid w:val="7FCF14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1"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1"/>
    <w:pPr>
      <w:widowControl/>
      <w:snapToGrid w:val="0"/>
      <w:spacing w:before="60" w:after="160" w:line="259" w:lineRule="auto"/>
      <w:ind w:right="113"/>
    </w:pPr>
    <w:rPr>
      <w:kern w:val="0"/>
      <w:sz w:val="18"/>
      <w:szCs w:val="20"/>
    </w:rPr>
  </w:style>
  <w:style w:type="paragraph" w:styleId="3">
    <w:name w:val="toc 1"/>
    <w:basedOn w:val="1"/>
    <w:next w:val="1"/>
    <w:qFormat/>
    <w:uiPriority w:val="1"/>
    <w:rPr>
      <w:szCs w:val="24"/>
    </w:rPr>
  </w:style>
  <w:style w:type="paragraph" w:styleId="4">
    <w:name w:val="Body Text Indent"/>
    <w:basedOn w:val="1"/>
    <w:unhideWhenUsed/>
    <w:qFormat/>
    <w:uiPriority w:val="0"/>
    <w:pPr>
      <w:tabs>
        <w:tab w:val="left" w:pos="4095"/>
      </w:tabs>
      <w:topLinePunct/>
      <w:adjustRightInd w:val="0"/>
      <w:snapToGrid w:val="0"/>
      <w:spacing w:after="120"/>
      <w:ind w:left="420" w:leftChars="200"/>
      <w:jc w:val="left"/>
    </w:pPr>
    <w:rPr>
      <w:rFonts w:ascii="Times New Roman" w:hAnsi="Times New Roman"/>
      <w:color w:val="000000"/>
      <w:szCs w:val="24"/>
    </w:rPr>
  </w:style>
  <w:style w:type="paragraph" w:styleId="5">
    <w:name w:val="footer"/>
    <w:basedOn w:val="1"/>
    <w:semiHidden/>
    <w:unhideWhenUsed/>
    <w:qFormat/>
    <w:uiPriority w:val="99"/>
    <w:pPr>
      <w:tabs>
        <w:tab w:val="center" w:pos="4153"/>
        <w:tab w:val="right" w:pos="8306"/>
      </w:tabs>
      <w:snapToGrid w:val="0"/>
      <w:jc w:val="left"/>
    </w:pPr>
    <w:rPr>
      <w:sz w:val="18"/>
      <w:szCs w:val="18"/>
    </w:rPr>
  </w:style>
  <w:style w:type="paragraph" w:styleId="6">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paragraph" w:styleId="7">
    <w:name w:val="Body Text First Indent 2"/>
    <w:basedOn w:val="4"/>
    <w:next w:val="1"/>
    <w:qFormat/>
    <w:uiPriority w:val="0"/>
    <w:pPr>
      <w:topLinePunct w:val="0"/>
      <w:adjustRightInd/>
      <w:snapToGrid/>
      <w:ind w:firstLine="420"/>
      <w:jc w:val="both"/>
    </w:pPr>
    <w:rPr>
      <w:rFonts w:ascii="宋体" w:hAnsi="宋体"/>
      <w:szCs w:val="21"/>
    </w:rPr>
  </w:style>
  <w:style w:type="table" w:styleId="9">
    <w:name w:val="Table Grid"/>
    <w:basedOn w:val="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annotation reference"/>
    <w:basedOn w:val="10"/>
    <w:unhideWhenUsed/>
    <w:qFormat/>
    <w:uiPriority w:val="99"/>
    <w:rPr>
      <w:sz w:val="21"/>
      <w:szCs w:val="21"/>
    </w:rPr>
  </w:style>
  <w:style w:type="paragraph" w:customStyle="1" w:styleId="12">
    <w:name w:val="DM正文"/>
    <w:basedOn w:val="1"/>
    <w:qFormat/>
    <w:uiPriority w:val="3"/>
    <w:pPr>
      <w:spacing w:line="360" w:lineRule="auto"/>
      <w:ind w:firstLine="200" w:firstLineChars="200"/>
    </w:pPr>
    <w:rPr>
      <w:rFonts w:eastAsiaTheme="minorEastAsia" w:cstheme="minorBidi"/>
      <w:sz w:val="24"/>
    </w:rPr>
  </w:style>
  <w:style w:type="paragraph" w:customStyle="1" w:styleId="13">
    <w:name w:val="评估意见正文内容"/>
    <w:basedOn w:val="1"/>
    <w:qFormat/>
    <w:uiPriority w:val="0"/>
    <w:pPr>
      <w:spacing w:line="360" w:lineRule="auto"/>
      <w:ind w:firstLine="640" w:firstLineChars="200"/>
    </w:pPr>
    <w:rPr>
      <w:rFonts w:ascii="仿宋_GB2312" w:hAnsi="宋体" w:eastAsia="仿宋_GB2312"/>
      <w:bCs/>
      <w:sz w:val="32"/>
      <w:szCs w:val="23"/>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2673</Words>
  <Characters>2802</Characters>
  <Lines>0</Lines>
  <Paragraphs>0</Paragraphs>
  <TotalTime>0</TotalTime>
  <ScaleCrop>false</ScaleCrop>
  <LinksUpToDate>false</LinksUpToDate>
  <CharactersWithSpaces>2809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2024-11-21T00:35:00Z</dcterms:created>
  <dc:creator>随遇而安</dc:creator>
  <cp:lastModifiedBy>随遇而安</cp:lastModifiedBy>
  <cp:lastPrinted>2026-04-07T07:20:00Z</cp:lastPrinted>
  <dcterms:modified xsi:type="dcterms:W3CDTF">2026-04-20T04:49:18Z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A0A4A93883CF4A729A896B2A6AA42798_13</vt:lpwstr>
  </property>
  <property fmtid="{D5CDD505-2E9C-101B-9397-08002B2CF9AE}" pid="4" name="KSOTemplateDocerSaveRecord">
    <vt:lpwstr>eyJoZGlkIjoiZTk0ZjNhNjFmYzAwMjYyMTU5NmZlYzQzMzY3OWNhZWYiLCJ1c2VySWQiOiIzMzk5MDA5MzEifQ==</vt:lpwstr>
  </property>
</Properties>
</file>