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7396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val="0"/>
          <w:bCs/>
          <w:sz w:val="32"/>
          <w:szCs w:val="32"/>
        </w:rPr>
      </w:pPr>
    </w:p>
    <w:p w14:paraId="04E28026">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eastAsia="仿宋_GB2312" w:cs="Times New Roman"/>
          <w:b w:val="0"/>
          <w:bCs/>
          <w:sz w:val="32"/>
          <w:szCs w:val="32"/>
        </w:rPr>
      </w:pPr>
    </w:p>
    <w:p w14:paraId="109426C2">
      <w:pPr>
        <w:keepNext w:val="0"/>
        <w:keepLines w:val="0"/>
        <w:pageBreakBefore w:val="0"/>
        <w:widowControl w:val="0"/>
        <w:kinsoku/>
        <w:wordWrap/>
        <w:overflowPunct/>
        <w:topLinePunct w:val="0"/>
        <w:autoSpaceDE/>
        <w:autoSpaceDN/>
        <w:bidi w:val="0"/>
        <w:adjustRightInd/>
        <w:snapToGrid/>
        <w:spacing w:line="576" w:lineRule="exact"/>
        <w:ind w:firstLine="5440" w:firstLineChars="17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rPr>
        <w:t>通市环建字</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20</w:t>
      </w:r>
      <w:r>
        <w:rPr>
          <w:rFonts w:hint="default" w:ascii="Times New Roman" w:hAnsi="Times New Roman" w:eastAsia="仿宋_GB2312" w:cs="Times New Roman"/>
          <w:b w:val="0"/>
          <w:bCs/>
          <w:sz w:val="32"/>
          <w:szCs w:val="32"/>
          <w:lang w:val="en-US" w:eastAsia="zh-CN"/>
        </w:rPr>
        <w:t>26</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rPr>
        <w:t>号</w:t>
      </w:r>
    </w:p>
    <w:p w14:paraId="21AD0F0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val="0"/>
          <w:bCs w:val="0"/>
          <w:sz w:val="32"/>
          <w:szCs w:val="32"/>
        </w:rPr>
      </w:pPr>
    </w:p>
    <w:p w14:paraId="244411D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color w:val="auto"/>
          <w:sz w:val="44"/>
          <w:szCs w:val="44"/>
          <w:highlight w:val="none"/>
        </w:rPr>
        <w:t>集安市湖里水电站</w:t>
      </w:r>
      <w:r>
        <w:rPr>
          <w:rFonts w:hint="eastAsia" w:ascii="方正小标宋简体" w:hAnsi="方正小标宋简体" w:eastAsia="方正小标宋简体" w:cs="方正小标宋简体"/>
          <w:b w:val="0"/>
          <w:bCs w:val="0"/>
          <w:sz w:val="44"/>
          <w:szCs w:val="44"/>
        </w:rPr>
        <w:t>环境影响报告</w:t>
      </w:r>
      <w:r>
        <w:rPr>
          <w:rFonts w:hint="eastAsia" w:ascii="方正小标宋简体" w:hAnsi="方正小标宋简体" w:eastAsia="方正小标宋简体" w:cs="方正小标宋简体"/>
          <w:b w:val="0"/>
          <w:bCs w:val="0"/>
          <w:sz w:val="44"/>
          <w:szCs w:val="44"/>
          <w:lang w:val="en-US" w:eastAsia="zh-CN"/>
        </w:rPr>
        <w:t>书</w:t>
      </w:r>
      <w:r>
        <w:rPr>
          <w:rFonts w:hint="eastAsia" w:ascii="方正小标宋简体" w:hAnsi="方正小标宋简体" w:eastAsia="方正小标宋简体" w:cs="方正小标宋简体"/>
          <w:b w:val="0"/>
          <w:bCs w:val="0"/>
          <w:sz w:val="44"/>
          <w:szCs w:val="44"/>
        </w:rPr>
        <w:t>的批复</w:t>
      </w:r>
    </w:p>
    <w:p w14:paraId="204F5C34">
      <w:pPr>
        <w:pStyle w:val="12"/>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b w:val="0"/>
          <w:bCs w:val="0"/>
          <w:color w:val="000000"/>
          <w:sz w:val="32"/>
          <w:szCs w:val="32"/>
        </w:rPr>
      </w:pPr>
    </w:p>
    <w:p w14:paraId="76E4EA1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right="0" w:rightChars="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集安市湖里水电有限公司：</w:t>
      </w:r>
    </w:p>
    <w:p w14:paraId="7082CC6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lang w:val="en-US" w:eastAsia="zh-CN"/>
        </w:rPr>
        <w:t>你公司《关于&lt;集安市湖里水电站环境影响报告书&gt;审批申请》及委托吉林省禾泽工程管理有限公司编制的环境影响报告书（报批版）收悉。经研究，现批复如下：</w:t>
      </w:r>
    </w:p>
    <w:p w14:paraId="3670A16D">
      <w:pPr>
        <w:pStyle w:val="1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Cs/>
          <w:iCs/>
          <w:color w:val="000000"/>
          <w:sz w:val="32"/>
          <w:szCs w:val="32"/>
          <w:u w:val="none"/>
          <w:lang w:val="en-US" w:eastAsia="zh-CN"/>
        </w:rPr>
      </w:pPr>
      <w:r>
        <w:rPr>
          <w:rFonts w:hint="eastAsia" w:ascii="黑体" w:hAnsi="黑体" w:eastAsia="黑体" w:cs="黑体"/>
          <w:b w:val="0"/>
          <w:bCs w:val="0"/>
          <w:sz w:val="32"/>
          <w:szCs w:val="32"/>
          <w:u w:val="none"/>
          <w:lang w:val="en-US" w:eastAsia="zh-CN"/>
        </w:rPr>
        <w:t>一、</w:t>
      </w:r>
      <w:r>
        <w:rPr>
          <w:rFonts w:hint="default" w:ascii="Times New Roman" w:hAnsi="Times New Roman" w:eastAsia="仿宋_GB2312" w:cs="Times New Roman"/>
          <w:b w:val="0"/>
          <w:bCs w:val="0"/>
          <w:sz w:val="32"/>
          <w:szCs w:val="32"/>
          <w:u w:val="none"/>
          <w:lang w:val="en-US" w:eastAsia="zh-CN"/>
        </w:rPr>
        <w:t>集安市湖里水电站</w:t>
      </w:r>
      <w:r>
        <w:rPr>
          <w:rFonts w:hint="default" w:ascii="Times New Roman" w:hAnsi="Times New Roman" w:eastAsia="仿宋_GB2312" w:cs="Times New Roman"/>
          <w:bCs/>
          <w:iCs/>
          <w:color w:val="000000"/>
          <w:sz w:val="32"/>
          <w:szCs w:val="32"/>
          <w:u w:val="none"/>
          <w:lang w:val="en-US" w:eastAsia="zh-CN"/>
        </w:rPr>
        <w:t>位于集安市台上镇兴安村湖里屯境内，小新开河中游</w:t>
      </w:r>
      <w:r>
        <w:rPr>
          <w:rFonts w:hint="eastAsia" w:ascii="Times New Roman" w:hAnsi="Times New Roman" w:eastAsia="仿宋_GB2312" w:cs="Times New Roman"/>
          <w:bCs/>
          <w:iCs/>
          <w:color w:val="000000"/>
          <w:sz w:val="32"/>
          <w:szCs w:val="32"/>
          <w:u w:val="none"/>
          <w:lang w:val="en-US" w:eastAsia="zh-CN"/>
        </w:rPr>
        <w:t>，</w:t>
      </w:r>
      <w:r>
        <w:rPr>
          <w:rFonts w:hint="eastAsia" w:ascii="Times New Roman" w:hAnsi="Times New Roman" w:eastAsia="仿宋_GB2312" w:cs="Times New Roman"/>
          <w:color w:val="auto"/>
          <w:sz w:val="32"/>
          <w:szCs w:val="32"/>
          <w:highlight w:val="none"/>
          <w:lang w:val="en-US" w:eastAsia="zh-CN"/>
        </w:rPr>
        <w:t>为引水式水电站</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水库坝址下与湖里六队最近距离约30米，</w:t>
      </w:r>
      <w:r>
        <w:rPr>
          <w:rFonts w:hint="default" w:ascii="Times New Roman" w:hAnsi="Times New Roman" w:eastAsia="仿宋_GB2312" w:cs="Times New Roman"/>
          <w:bCs/>
          <w:iCs/>
          <w:color w:val="000000"/>
          <w:sz w:val="32"/>
          <w:szCs w:val="32"/>
          <w:u w:val="none"/>
        </w:rPr>
        <w:t>湖里水电站由老站</w:t>
      </w:r>
      <w:r>
        <w:rPr>
          <w:rFonts w:hint="default" w:ascii="Times New Roman" w:hAnsi="Times New Roman" w:eastAsia="仿宋_GB2312" w:cs="Times New Roman"/>
          <w:bCs/>
          <w:iCs/>
          <w:color w:val="000000"/>
          <w:sz w:val="32"/>
          <w:szCs w:val="32"/>
          <w:u w:val="none"/>
          <w:lang w:val="en-US" w:eastAsia="zh-CN"/>
        </w:rPr>
        <w:t>和</w:t>
      </w:r>
      <w:r>
        <w:rPr>
          <w:rFonts w:hint="default" w:ascii="Times New Roman" w:hAnsi="Times New Roman" w:eastAsia="仿宋_GB2312" w:cs="Times New Roman"/>
          <w:bCs/>
          <w:iCs/>
          <w:color w:val="000000"/>
          <w:sz w:val="32"/>
          <w:szCs w:val="32"/>
          <w:u w:val="none"/>
        </w:rPr>
        <w:t>新站组成，</w:t>
      </w:r>
      <w:r>
        <w:rPr>
          <w:rFonts w:hint="eastAsia" w:ascii="Times New Roman" w:hAnsi="Times New Roman" w:eastAsia="仿宋_GB2312" w:cs="Times New Roman"/>
          <w:color w:val="auto"/>
          <w:sz w:val="32"/>
          <w:szCs w:val="32"/>
          <w:highlight w:val="none"/>
          <w:lang w:val="en-US" w:eastAsia="zh-CN"/>
        </w:rPr>
        <w:t>老站东侧、南侧为林地，西侧为旱地，北侧为闲置房屋，与西南侧龙头后村最近距离约245米。新站东侧为林地和道路，南侧为林地，西侧为旱地，北侧为道路，与西南侧湖里四队最近距离约231米。项目组成包括主体工程、辅助工程、公用工程、环保工程等。主要建设内容</w:t>
      </w:r>
      <w:r>
        <w:rPr>
          <w:rFonts w:hint="default" w:ascii="Times New Roman" w:hAnsi="Times New Roman" w:eastAsia="仿宋_GB2312" w:cs="Times New Roman"/>
          <w:bCs/>
          <w:iCs/>
          <w:color w:val="000000"/>
          <w:sz w:val="32"/>
          <w:szCs w:val="32"/>
          <w:u w:val="none"/>
          <w:lang w:val="en-US" w:eastAsia="zh-CN"/>
        </w:rPr>
        <w:t>包括</w:t>
      </w:r>
      <w:r>
        <w:rPr>
          <w:rFonts w:hint="default" w:ascii="Times New Roman" w:hAnsi="Times New Roman" w:eastAsia="仿宋_GB2312" w:cs="Times New Roman"/>
          <w:bCs/>
          <w:iCs/>
          <w:color w:val="000000"/>
          <w:sz w:val="32"/>
          <w:szCs w:val="32"/>
          <w:u w:val="none"/>
        </w:rPr>
        <w:t>拦河坝、</w:t>
      </w:r>
      <w:r>
        <w:rPr>
          <w:rFonts w:hint="eastAsia" w:ascii="Times New Roman" w:hAnsi="Times New Roman" w:eastAsia="仿宋_GB2312" w:cs="Times New Roman"/>
          <w:bCs/>
          <w:iCs/>
          <w:color w:val="000000"/>
          <w:sz w:val="32"/>
          <w:szCs w:val="32"/>
          <w:u w:val="none"/>
          <w:lang w:val="en-US" w:eastAsia="zh-CN"/>
        </w:rPr>
        <w:t>2座发电厂房、</w:t>
      </w:r>
      <w:r>
        <w:rPr>
          <w:rFonts w:hint="default" w:ascii="Times New Roman" w:hAnsi="Times New Roman" w:eastAsia="仿宋_GB2312" w:cs="Times New Roman"/>
          <w:bCs/>
          <w:iCs/>
          <w:color w:val="000000"/>
          <w:sz w:val="32"/>
          <w:szCs w:val="32"/>
          <w:u w:val="none"/>
        </w:rPr>
        <w:t>灌溉输水洞、引水隧洞</w:t>
      </w:r>
      <w:r>
        <w:rPr>
          <w:rFonts w:hint="eastAsia" w:ascii="Times New Roman" w:hAnsi="Times New Roman" w:eastAsia="仿宋_GB2312" w:cs="Times New Roman"/>
          <w:bCs/>
          <w:iCs/>
          <w:color w:val="000000"/>
          <w:sz w:val="32"/>
          <w:szCs w:val="32"/>
          <w:u w:val="none"/>
          <w:lang w:val="en-US" w:eastAsia="zh-CN"/>
        </w:rPr>
        <w:t>、升压站</w:t>
      </w:r>
      <w:r>
        <w:rPr>
          <w:rFonts w:hint="eastAsia" w:ascii="仿宋_GB2312" w:eastAsia="仿宋_GB2312"/>
          <w:bCs/>
          <w:iCs/>
          <w:color w:val="000000"/>
          <w:sz w:val="32"/>
          <w:szCs w:val="32"/>
        </w:rPr>
        <w:t>等。</w:t>
      </w:r>
      <w:r>
        <w:rPr>
          <w:rFonts w:hint="eastAsia" w:ascii="Times New Roman" w:hAnsi="Times New Roman" w:eastAsia="仿宋_GB2312" w:cs="Times New Roman"/>
          <w:bCs/>
          <w:iCs/>
          <w:color w:val="000000"/>
          <w:sz w:val="32"/>
          <w:szCs w:val="32"/>
          <w:u w:val="none"/>
          <w:lang w:val="en-US" w:eastAsia="zh-CN"/>
        </w:rPr>
        <w:t>电站安装4台水轮发电机组，</w:t>
      </w:r>
      <w:r>
        <w:rPr>
          <w:rFonts w:hint="default" w:ascii="Times New Roman" w:hAnsi="Times New Roman" w:eastAsia="仿宋_GB2312" w:cs="Times New Roman"/>
          <w:bCs/>
          <w:iCs/>
          <w:color w:val="000000"/>
          <w:sz w:val="32"/>
          <w:szCs w:val="32"/>
          <w:u w:val="none"/>
        </w:rPr>
        <w:t>其中老站</w:t>
      </w:r>
      <w:r>
        <w:rPr>
          <w:rFonts w:hint="eastAsia" w:ascii="Times New Roman" w:hAnsi="Times New Roman" w:eastAsia="仿宋_GB2312" w:cs="Times New Roman"/>
          <w:bCs/>
          <w:iCs/>
          <w:color w:val="000000"/>
          <w:sz w:val="32"/>
          <w:szCs w:val="32"/>
          <w:u w:val="none"/>
          <w:lang w:val="en-US" w:eastAsia="zh-CN"/>
        </w:rPr>
        <w:t>2台</w:t>
      </w:r>
      <w:r>
        <w:rPr>
          <w:rFonts w:hint="default" w:ascii="Times New Roman" w:hAnsi="Times New Roman" w:eastAsia="仿宋_GB2312" w:cs="Times New Roman"/>
          <w:bCs/>
          <w:iCs/>
          <w:color w:val="000000"/>
          <w:sz w:val="32"/>
          <w:szCs w:val="32"/>
          <w:u w:val="none"/>
        </w:rPr>
        <w:t>（2×200</w:t>
      </w:r>
      <w:r>
        <w:rPr>
          <w:rFonts w:hint="default" w:ascii="Times New Roman" w:hAnsi="Times New Roman" w:eastAsia="仿宋_GB2312" w:cs="Times New Roman"/>
          <w:bCs/>
          <w:iCs/>
          <w:color w:val="000000"/>
          <w:sz w:val="32"/>
          <w:szCs w:val="32"/>
          <w:u w:val="none"/>
          <w:lang w:val="en-US" w:eastAsia="zh-CN"/>
        </w:rPr>
        <w:t>千瓦</w:t>
      </w:r>
      <w:r>
        <w:rPr>
          <w:rFonts w:hint="default" w:ascii="Times New Roman" w:hAnsi="Times New Roman" w:eastAsia="仿宋_GB2312" w:cs="Times New Roman"/>
          <w:bCs/>
          <w:iCs/>
          <w:color w:val="000000"/>
          <w:sz w:val="32"/>
          <w:szCs w:val="32"/>
          <w:u w:val="none"/>
        </w:rPr>
        <w:t>），新电站</w:t>
      </w:r>
      <w:r>
        <w:rPr>
          <w:rFonts w:hint="eastAsia" w:ascii="Times New Roman" w:hAnsi="Times New Roman" w:eastAsia="仿宋_GB2312" w:cs="Times New Roman"/>
          <w:bCs/>
          <w:iCs/>
          <w:color w:val="000000"/>
          <w:sz w:val="32"/>
          <w:szCs w:val="32"/>
          <w:u w:val="none"/>
          <w:lang w:val="en-US" w:eastAsia="zh-CN"/>
        </w:rPr>
        <w:t>2台</w:t>
      </w:r>
      <w:r>
        <w:rPr>
          <w:rFonts w:hint="default" w:ascii="Times New Roman" w:hAnsi="Times New Roman" w:eastAsia="仿宋_GB2312" w:cs="Times New Roman"/>
          <w:bCs/>
          <w:iCs/>
          <w:color w:val="000000"/>
          <w:sz w:val="32"/>
          <w:szCs w:val="32"/>
          <w:u w:val="none"/>
        </w:rPr>
        <w:t>（2×500</w:t>
      </w:r>
      <w:r>
        <w:rPr>
          <w:rFonts w:hint="default" w:ascii="Times New Roman" w:hAnsi="Times New Roman" w:eastAsia="仿宋_GB2312" w:cs="Times New Roman"/>
          <w:bCs/>
          <w:iCs/>
          <w:color w:val="000000"/>
          <w:sz w:val="32"/>
          <w:szCs w:val="32"/>
          <w:u w:val="none"/>
          <w:lang w:val="en-US" w:eastAsia="zh-CN"/>
        </w:rPr>
        <w:t>千</w:t>
      </w:r>
      <w:r>
        <w:rPr>
          <w:rFonts w:hint="default" w:ascii="Times New Roman" w:hAnsi="Times New Roman" w:eastAsia="仿宋_GB2312" w:cs="Times New Roman"/>
          <w:b w:val="0"/>
          <w:bCs w:val="0"/>
          <w:kern w:val="2"/>
          <w:sz w:val="32"/>
          <w:szCs w:val="32"/>
          <w:u w:val="none"/>
          <w:lang w:val="en-US" w:eastAsia="zh-CN" w:bidi="ar-SA"/>
        </w:rPr>
        <w:t>瓦）</w:t>
      </w:r>
      <w:r>
        <w:rPr>
          <w:rFonts w:hint="eastAsia" w:ascii="Times New Roman" w:hAnsi="Times New Roman" w:eastAsia="仿宋_GB2312" w:cs="Times New Roman"/>
          <w:b w:val="0"/>
          <w:bCs w:val="0"/>
          <w:kern w:val="2"/>
          <w:sz w:val="32"/>
          <w:szCs w:val="32"/>
          <w:u w:val="none"/>
          <w:lang w:val="en-US" w:eastAsia="zh-CN" w:bidi="ar-SA"/>
        </w:rPr>
        <w:t>，</w:t>
      </w:r>
      <w:r>
        <w:rPr>
          <w:rFonts w:hint="default" w:ascii="Times New Roman" w:hAnsi="Times New Roman" w:eastAsia="仿宋_GB2312" w:cs="Times New Roman"/>
          <w:bCs/>
          <w:iCs/>
          <w:color w:val="000000"/>
          <w:sz w:val="32"/>
          <w:szCs w:val="32"/>
          <w:u w:val="none"/>
        </w:rPr>
        <w:t>总装机容量1400</w:t>
      </w:r>
      <w:r>
        <w:rPr>
          <w:rFonts w:hint="default" w:ascii="Times New Roman" w:hAnsi="Times New Roman" w:eastAsia="仿宋_GB2312" w:cs="Times New Roman"/>
          <w:bCs/>
          <w:iCs/>
          <w:color w:val="000000"/>
          <w:sz w:val="32"/>
          <w:szCs w:val="32"/>
          <w:u w:val="none"/>
          <w:lang w:val="en-US" w:eastAsia="zh-CN"/>
        </w:rPr>
        <w:t>千瓦</w:t>
      </w:r>
      <w:r>
        <w:rPr>
          <w:rFonts w:hint="eastAsia" w:ascii="Times New Roman" w:hAnsi="Times New Roman" w:eastAsia="仿宋_GB2312" w:cs="Times New Roman"/>
          <w:b w:val="0"/>
          <w:bCs w:val="0"/>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年利用小时数3039小时</w:t>
      </w:r>
      <w:r>
        <w:rPr>
          <w:rFonts w:hint="eastAsia" w:ascii="Times New Roman" w:hAnsi="Times New Roman"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设计年平均发电量为425.51万千瓦・时</w:t>
      </w:r>
      <w:r>
        <w:rPr>
          <w:rFonts w:hint="eastAsia" w:ascii="Times New Roman" w:hAnsi="Times New Roman"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sz w:val="32"/>
          <w:szCs w:val="32"/>
          <w:u w:val="none"/>
          <w:lang w:val="en-US" w:eastAsia="zh-CN"/>
        </w:rPr>
        <w:t>湖里水电站</w:t>
      </w:r>
      <w:r>
        <w:rPr>
          <w:rFonts w:hint="default" w:ascii="Times New Roman" w:hAnsi="Times New Roman" w:eastAsia="仿宋_GB2312" w:cs="Times New Roman"/>
          <w:bCs/>
          <w:iCs/>
          <w:color w:val="000000"/>
          <w:sz w:val="32"/>
          <w:szCs w:val="32"/>
          <w:u w:val="none"/>
          <w:lang w:val="en-US" w:eastAsia="zh-CN"/>
        </w:rPr>
        <w:t>于1968年开工建设，1970年投产发电，装机容量为400千瓦；1997年进行扩建，2001年建成运行，扩建后装机容量为1400千瓦；2008年</w:t>
      </w:r>
      <w:r>
        <w:rPr>
          <w:rFonts w:hint="eastAsia" w:ascii="Times New Roman" w:hAnsi="Times New Roman" w:eastAsia="仿宋_GB2312" w:cs="Times New Roman"/>
          <w:bCs/>
          <w:iCs/>
          <w:color w:val="000000"/>
          <w:sz w:val="32"/>
          <w:szCs w:val="32"/>
          <w:u w:val="none"/>
          <w:lang w:val="en-US" w:eastAsia="zh-CN"/>
        </w:rPr>
        <w:t>对湖里水库大坝</w:t>
      </w:r>
      <w:r>
        <w:rPr>
          <w:rFonts w:hint="default" w:ascii="Times New Roman" w:hAnsi="Times New Roman" w:eastAsia="仿宋_GB2312" w:cs="Times New Roman"/>
          <w:bCs/>
          <w:iCs/>
          <w:color w:val="000000"/>
          <w:sz w:val="32"/>
          <w:szCs w:val="32"/>
          <w:u w:val="none"/>
          <w:lang w:val="en-US" w:eastAsia="zh-CN"/>
        </w:rPr>
        <w:t>进行除险加固工程，2010年工程完工；2023年对水轮发电机技术改造</w:t>
      </w:r>
      <w:r>
        <w:rPr>
          <w:rFonts w:hint="eastAsia" w:ascii="Times New Roman" w:hAnsi="Times New Roman" w:eastAsia="仿宋_GB2312" w:cs="Times New Roman"/>
          <w:bCs/>
          <w:iCs/>
          <w:color w:val="000000"/>
          <w:sz w:val="32"/>
          <w:szCs w:val="32"/>
          <w:u w:val="none"/>
          <w:lang w:val="en-US" w:eastAsia="zh-CN"/>
        </w:rPr>
        <w:t>，</w:t>
      </w:r>
      <w:r>
        <w:rPr>
          <w:rFonts w:hint="default" w:ascii="Times New Roman" w:hAnsi="Times New Roman" w:eastAsia="仿宋_GB2312" w:cs="Times New Roman"/>
          <w:bCs/>
          <w:iCs/>
          <w:color w:val="000000"/>
          <w:sz w:val="32"/>
          <w:szCs w:val="32"/>
          <w:u w:val="none"/>
          <w:lang w:val="en-US" w:eastAsia="zh-CN"/>
        </w:rPr>
        <w:t>更换</w:t>
      </w:r>
      <w:r>
        <w:rPr>
          <w:rFonts w:hint="eastAsia" w:ascii="Times New Roman" w:hAnsi="Times New Roman" w:eastAsia="仿宋_GB2312" w:cs="Times New Roman"/>
          <w:bCs/>
          <w:iCs/>
          <w:color w:val="000000"/>
          <w:sz w:val="32"/>
          <w:szCs w:val="32"/>
          <w:u w:val="none"/>
          <w:lang w:val="en-US" w:eastAsia="zh-CN"/>
        </w:rPr>
        <w:t>老站2台水轮机</w:t>
      </w:r>
      <w:r>
        <w:rPr>
          <w:rFonts w:hint="default" w:ascii="Times New Roman" w:hAnsi="Times New Roman" w:eastAsia="仿宋_GB2312" w:cs="Times New Roman"/>
          <w:bCs/>
          <w:iCs/>
          <w:color w:val="000000"/>
          <w:sz w:val="32"/>
          <w:szCs w:val="32"/>
          <w:u w:val="none"/>
          <w:lang w:val="en-US" w:eastAsia="zh-CN"/>
        </w:rPr>
        <w:t>。</w:t>
      </w:r>
    </w:p>
    <w:p w14:paraId="49055B94">
      <w:pPr>
        <w:pStyle w:val="1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项目符合</w:t>
      </w:r>
      <w:r>
        <w:rPr>
          <w:rFonts w:hint="default" w:ascii="Times New Roman" w:hAnsi="Times New Roman" w:eastAsia="仿宋_GB2312" w:cs="Times New Roman"/>
          <w:sz w:val="32"/>
          <w:szCs w:val="32"/>
          <w:u w:val="none"/>
        </w:rPr>
        <w:t>国家产业政策</w:t>
      </w:r>
      <w:r>
        <w:rPr>
          <w:rFonts w:hint="default" w:ascii="Times New Roman" w:hAnsi="Times New Roman" w:eastAsia="仿宋_GB2312" w:cs="Times New Roman"/>
          <w:color w:val="auto"/>
          <w:sz w:val="32"/>
          <w:szCs w:val="32"/>
          <w:u w:val="none"/>
        </w:rPr>
        <w:t>，符合通化市</w:t>
      </w:r>
      <w:r>
        <w:rPr>
          <w:rFonts w:hint="default" w:ascii="Times New Roman" w:hAnsi="Times New Roman" w:eastAsia="仿宋_GB2312" w:cs="Times New Roman"/>
          <w:color w:val="auto"/>
          <w:sz w:val="32"/>
          <w:szCs w:val="32"/>
          <w:u w:val="none"/>
          <w:lang w:val="en-US" w:eastAsia="zh-CN"/>
        </w:rPr>
        <w:t>生态环境分区</w:t>
      </w:r>
      <w:r>
        <w:rPr>
          <w:rFonts w:hint="default" w:ascii="Times New Roman" w:hAnsi="Times New Roman" w:eastAsia="仿宋_GB2312" w:cs="Times New Roman"/>
          <w:color w:val="auto"/>
          <w:sz w:val="32"/>
          <w:szCs w:val="32"/>
          <w:u w:val="none"/>
        </w:rPr>
        <w:t>管控</w:t>
      </w:r>
      <w:r>
        <w:rPr>
          <w:rFonts w:hint="eastAsia" w:ascii="Times New Roman" w:hAnsi="Times New Roman" w:eastAsia="仿宋_GB2312" w:cs="Times New Roman"/>
          <w:color w:val="auto"/>
          <w:sz w:val="32"/>
          <w:szCs w:val="32"/>
          <w:u w:val="none"/>
          <w:lang w:val="en-US" w:eastAsia="zh-CN"/>
        </w:rPr>
        <w:t>和准入清单</w:t>
      </w:r>
      <w:r>
        <w:rPr>
          <w:rFonts w:hint="default" w:ascii="Times New Roman" w:hAnsi="Times New Roman" w:eastAsia="仿宋_GB2312" w:cs="Times New Roman"/>
          <w:color w:val="auto"/>
          <w:sz w:val="32"/>
          <w:szCs w:val="32"/>
          <w:u w:val="none"/>
        </w:rPr>
        <w:t>要求</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b w:val="0"/>
          <w:bCs w:val="0"/>
          <w:sz w:val="32"/>
          <w:szCs w:val="32"/>
          <w:u w:val="none"/>
          <w:lang w:val="en-US" w:eastAsia="zh-CN"/>
        </w:rPr>
        <w:t>湖里水电站</w:t>
      </w:r>
      <w:r>
        <w:rPr>
          <w:rFonts w:hint="eastAsia" w:ascii="Times New Roman" w:hAnsi="Times New Roman" w:eastAsia="仿宋_GB2312" w:cs="Times New Roman"/>
          <w:color w:val="auto"/>
          <w:sz w:val="32"/>
          <w:szCs w:val="32"/>
          <w:u w:val="none"/>
          <w:lang w:val="en-US" w:eastAsia="zh-CN"/>
        </w:rPr>
        <w:t>属于整改类水电站，符合</w:t>
      </w:r>
      <w:r>
        <w:rPr>
          <w:rFonts w:hint="default" w:ascii="Times New Roman" w:hAnsi="Times New Roman" w:eastAsia="仿宋_GB2312" w:cs="Times New Roman"/>
          <w:color w:val="auto"/>
          <w:spacing w:val="-1"/>
          <w:sz w:val="32"/>
          <w:szCs w:val="32"/>
          <w:highlight w:val="none"/>
          <w:u w:val="none"/>
        </w:rPr>
        <w:t>《吉林省水利厅 吉林省发展改革委 吉林省自然资源厅 吉林省生态环境厅 吉林省农业农村厅 吉林省能源局 吉林省林草局关于吉林省小水电分类整改工作的实施意见》</w:t>
      </w:r>
      <w:r>
        <w:rPr>
          <w:rFonts w:hint="eastAsia" w:ascii="Times New Roman" w:hAnsi="Times New Roman" w:eastAsia="仿宋_GB2312" w:cs="Times New Roman"/>
          <w:color w:val="auto"/>
          <w:spacing w:val="-1"/>
          <w:sz w:val="32"/>
          <w:szCs w:val="32"/>
          <w:highlight w:val="none"/>
          <w:u w:val="none"/>
          <w:lang w:eastAsia="zh-CN"/>
        </w:rPr>
        <w:t>、</w:t>
      </w:r>
      <w:r>
        <w:rPr>
          <w:rFonts w:hint="default" w:ascii="Times New Roman" w:hAnsi="Times New Roman" w:eastAsia="仿宋_GB2312" w:cs="Times New Roman"/>
          <w:color w:val="auto"/>
          <w:spacing w:val="-3"/>
          <w:sz w:val="32"/>
          <w:szCs w:val="32"/>
          <w:highlight w:val="none"/>
          <w:u w:val="none"/>
        </w:rPr>
        <w:t>《吉林省集安市小水电分类整改评估报告》</w:t>
      </w:r>
      <w:r>
        <w:rPr>
          <w:rFonts w:hint="eastAsia" w:ascii="Times New Roman" w:hAnsi="Times New Roman" w:eastAsia="仿宋_GB2312" w:cs="Times New Roman"/>
          <w:color w:val="auto"/>
          <w:spacing w:val="-3"/>
          <w:sz w:val="32"/>
          <w:szCs w:val="32"/>
          <w:highlight w:val="none"/>
          <w:u w:val="none"/>
          <w:lang w:eastAsia="zh-CN"/>
        </w:rPr>
        <w:t>、</w:t>
      </w:r>
      <w:r>
        <w:rPr>
          <w:rFonts w:hint="default" w:ascii="Times New Roman" w:hAnsi="Times New Roman" w:eastAsia="仿宋_GB2312" w:cs="Times New Roman"/>
          <w:color w:val="auto"/>
          <w:sz w:val="32"/>
          <w:szCs w:val="32"/>
          <w:u w:val="none"/>
        </w:rPr>
        <w:t>《吉林省中小河流水能资源开发规划》</w:t>
      </w:r>
      <w:r>
        <w:rPr>
          <w:rFonts w:hint="eastAsia" w:ascii="Times New Roman" w:hAnsi="Times New Roman" w:eastAsia="仿宋_GB2312" w:cs="Times New Roman"/>
          <w:color w:val="auto"/>
          <w:sz w:val="32"/>
          <w:szCs w:val="32"/>
          <w:u w:val="none"/>
          <w:lang w:val="en-US" w:eastAsia="zh-CN"/>
        </w:rPr>
        <w:t>要求。</w:t>
      </w:r>
      <w:r>
        <w:rPr>
          <w:rFonts w:hint="default" w:ascii="Times New Roman" w:hAnsi="Times New Roman" w:eastAsia="仿宋_GB2312" w:cs="Times New Roman"/>
          <w:sz w:val="32"/>
          <w:szCs w:val="32"/>
          <w:lang w:val="en-US" w:eastAsia="zh-CN"/>
        </w:rPr>
        <w:t>经通化市生态环境局集安市分局复核确认，</w:t>
      </w:r>
      <w:r>
        <w:rPr>
          <w:rFonts w:hint="default" w:ascii="Times New Roman" w:hAnsi="Times New Roman" w:eastAsia="仿宋_GB2312" w:cs="Times New Roman"/>
          <w:b w:val="0"/>
          <w:bCs w:val="0"/>
          <w:sz w:val="32"/>
          <w:szCs w:val="32"/>
          <w:u w:val="none"/>
          <w:lang w:val="en-US" w:eastAsia="zh-CN"/>
        </w:rPr>
        <w:t>集安市湖里水电站</w:t>
      </w:r>
      <w:r>
        <w:rPr>
          <w:rFonts w:hint="eastAsia" w:ascii="仿宋_GB2312" w:hAnsi="仿宋_GB2312" w:eastAsia="仿宋_GB2312" w:cs="仿宋_GB2312"/>
          <w:sz w:val="32"/>
          <w:szCs w:val="32"/>
        </w:rPr>
        <w:t>符合原环境保护部《关于加强“未批先建”建设项目环境影响评价管理工作的通知》中依法予以审批条件</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应按政策要求</w:t>
      </w:r>
      <w:r>
        <w:rPr>
          <w:rFonts w:hint="eastAsia" w:ascii="Times New Roman" w:hAnsi="Times New Roman" w:eastAsia="仿宋_GB2312" w:cs="Times New Roman"/>
          <w:sz w:val="32"/>
          <w:szCs w:val="32"/>
          <w:lang w:val="en-US" w:eastAsia="zh-CN"/>
        </w:rPr>
        <w:t>办理</w:t>
      </w:r>
      <w:r>
        <w:rPr>
          <w:rFonts w:hint="default" w:ascii="Times New Roman" w:hAnsi="Times New Roman" w:eastAsia="仿宋_GB2312" w:cs="Times New Roman"/>
          <w:sz w:val="32"/>
          <w:szCs w:val="32"/>
          <w:lang w:val="en-US" w:eastAsia="zh-CN"/>
        </w:rPr>
        <w:t>环境影响评价手续。</w:t>
      </w:r>
      <w:r>
        <w:rPr>
          <w:rFonts w:hint="default" w:ascii="Times New Roman" w:hAnsi="Times New Roman" w:eastAsia="仿宋_GB2312" w:cs="Times New Roman"/>
          <w:bCs/>
          <w:iCs/>
          <w:sz w:val="32"/>
          <w:szCs w:val="32"/>
          <w:u w:val="none"/>
        </w:rPr>
        <w:t>在</w:t>
      </w:r>
      <w:r>
        <w:rPr>
          <w:rFonts w:hint="default" w:ascii="Times New Roman" w:hAnsi="Times New Roman" w:eastAsia="仿宋_GB2312" w:cs="Times New Roman"/>
          <w:sz w:val="32"/>
          <w:szCs w:val="32"/>
          <w:u w:val="none"/>
        </w:rPr>
        <w:t>全面落实环境影响报告书提出的各项污染防治及环境风险防范措施后，项目建设对环境的不利影响能够得到缓解和控制。因此，从</w:t>
      </w:r>
      <w:r>
        <w:rPr>
          <w:rFonts w:hint="eastAsia" w:ascii="Times New Roman" w:hAnsi="Times New Roman" w:eastAsia="仿宋_GB2312" w:cs="Times New Roman"/>
          <w:sz w:val="32"/>
          <w:szCs w:val="32"/>
          <w:u w:val="none"/>
          <w:lang w:val="en-US" w:eastAsia="zh-CN"/>
        </w:rPr>
        <w:t>生态</w:t>
      </w:r>
      <w:r>
        <w:rPr>
          <w:rFonts w:hint="default" w:ascii="Times New Roman" w:hAnsi="Times New Roman" w:eastAsia="仿宋_GB2312" w:cs="Times New Roman"/>
          <w:sz w:val="32"/>
          <w:szCs w:val="32"/>
          <w:u w:val="none"/>
        </w:rPr>
        <w:t>环境保护角度分析，</w:t>
      </w:r>
      <w:r>
        <w:rPr>
          <w:rFonts w:hint="default" w:ascii="Times New Roman" w:hAnsi="Times New Roman" w:eastAsia="仿宋_GB2312" w:cs="Times New Roman"/>
          <w:sz w:val="32"/>
          <w:szCs w:val="32"/>
          <w:u w:val="none"/>
          <w:lang w:val="en-US" w:eastAsia="zh-CN"/>
        </w:rPr>
        <w:t>我局</w:t>
      </w:r>
      <w:r>
        <w:rPr>
          <w:rFonts w:hint="default" w:ascii="Times New Roman" w:hAnsi="Times New Roman" w:eastAsia="仿宋_GB2312" w:cs="Times New Roman"/>
          <w:sz w:val="32"/>
          <w:szCs w:val="32"/>
          <w:u w:val="none"/>
        </w:rPr>
        <w:t>原则同意环境影响报告书中所列建设项目的性质、规模、工艺、地点和拟采取的环境保护措施。</w:t>
      </w:r>
    </w:p>
    <w:p w14:paraId="3DC6C10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i w:val="0"/>
          <w:iCs w:val="0"/>
          <w:caps w:val="0"/>
          <w:color w:val="000000"/>
          <w:spacing w:val="0"/>
          <w:sz w:val="32"/>
          <w:szCs w:val="32"/>
          <w:shd w:val="clear" w:fill="FFFFFF"/>
        </w:rPr>
        <w:t>项目运营中要重点做好以下几个方面的工作</w:t>
      </w:r>
    </w:p>
    <w:p w14:paraId="02A26D6E">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）建设单位须严格落实“以新带老”整改措施，在整改措施完成后，该项目方可投入生产运营。</w:t>
      </w:r>
    </w:p>
    <w:p w14:paraId="128B52ED">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）鉴于该项目涉及吉林省生态环境分区管控成果划定的优先保护单元中集安市水源涵养功能重要区，重点管控单元中集安市大气环境弱扩散重点管控区，一般管控单元</w:t>
      </w:r>
      <w:r>
        <w:rPr>
          <w:rFonts w:hint="eastAsia" w:ascii="Times New Roman" w:hAnsi="Times New Roman" w:eastAsia="仿宋_GB2312" w:cs="Times New Roman"/>
          <w:sz w:val="32"/>
          <w:szCs w:val="32"/>
          <w:lang w:val="en-US" w:eastAsia="zh-CN"/>
        </w:rPr>
        <w:t>中</w:t>
      </w:r>
      <w:r>
        <w:rPr>
          <w:rFonts w:hint="eastAsia" w:ascii="Times New Roman" w:hAnsi="Times New Roman" w:eastAsia="仿宋_GB2312" w:cs="Times New Roman"/>
          <w:sz w:val="32"/>
          <w:szCs w:val="32"/>
          <w:lang w:eastAsia="zh-CN"/>
        </w:rPr>
        <w:t>集安市一般管控区内。建设单位须严格按照各生态环境分区管控要求进行施工和运营。</w:t>
      </w:r>
    </w:p>
    <w:p w14:paraId="7269B72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严格落实生态环境保护与修复措施。加强区域现有植被保护，禁止乱砍滥伐。对工程占地区域已实施的植被修复措施进行巩固提升，确保植被恢复效果。严格控制人类活动对陆生、水生生物的干扰，禁止捕猎行为。在电站运行期严格落实生态流量泄放措施，须在冲沙闸口安装流量在线监控装置，并与当地统一的监管平台联网，确保减水段满足生态流量要求。须预留过鱼通道建设资金，统一按流域要求进行鱼道规范化设计及建设，按要求长期开展生态环境监测等。</w:t>
      </w:r>
    </w:p>
    <w:p w14:paraId="07895FDB">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）按照《危险废物贮存污染控制标准》(GB18597-2023)中相关要求，对新、老电站危险废物暂存间、储油仓库、事故油池和升压站等储</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用油区域进行重点防渗，渗透系数不大于1×10</w:t>
      </w:r>
      <w:r>
        <w:rPr>
          <w:rFonts w:hint="eastAsia" w:ascii="Times New Roman" w:hAnsi="Times New Roman" w:eastAsia="仿宋_GB2312" w:cs="Times New Roman"/>
          <w:sz w:val="32"/>
          <w:szCs w:val="32"/>
          <w:vertAlign w:val="superscript"/>
          <w:lang w:val="en-US" w:eastAsia="zh-CN"/>
        </w:rPr>
        <w:t>-7</w:t>
      </w:r>
      <w:r>
        <w:rPr>
          <w:rFonts w:hint="eastAsia" w:ascii="Times New Roman" w:hAnsi="Times New Roman" w:eastAsia="仿宋_GB2312" w:cs="Times New Roman"/>
          <w:sz w:val="32"/>
          <w:szCs w:val="32"/>
          <w:lang w:val="en-US" w:eastAsia="zh-CN"/>
        </w:rPr>
        <w:t>厘米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秒</w:t>
      </w:r>
      <w:r>
        <w:rPr>
          <w:rFonts w:hint="eastAsia" w:ascii="Times New Roman" w:hAnsi="Times New Roman" w:eastAsia="仿宋_GB2312" w:cs="Times New Roman"/>
          <w:sz w:val="32"/>
          <w:szCs w:val="32"/>
          <w:lang w:eastAsia="zh-CN"/>
        </w:rPr>
        <w:t>;对厂区内办公区等简单防渗区进行一般硬化处理；对现有地下水、土壤污染防治设施进行定期巡检，杜绝污染地下水、土壤环境。</w:t>
      </w:r>
    </w:p>
    <w:p w14:paraId="416938CD">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水电站冬季须采用电采暖方式，不得建设燃各类燃料的锅炉。加强润滑油储存管理，确保厂界非甲烷总烃无组织排放浓度满足《大气污染物综合排放标准》(GB16297-1996)表2中标准要求，厂区内非甲烷总烃无组织排放浓度满足《挥发性有机物无组织排放控制标准》(GB37822-2019)表A.1中标准要求。</w:t>
      </w:r>
    </w:p>
    <w:p w14:paraId="505DE21C">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六</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水</w:t>
      </w:r>
      <w:r>
        <w:rPr>
          <w:rFonts w:hint="eastAsia" w:ascii="Times New Roman" w:hAnsi="Times New Roman" w:eastAsia="仿宋_GB2312" w:cs="Times New Roman"/>
          <w:sz w:val="32"/>
          <w:szCs w:val="32"/>
          <w:highlight w:val="none"/>
          <w:lang w:eastAsia="zh-CN"/>
        </w:rPr>
        <w:t>电站</w:t>
      </w:r>
      <w:r>
        <w:rPr>
          <w:rFonts w:hint="eastAsia" w:ascii="Times New Roman" w:hAnsi="Times New Roman" w:eastAsia="仿宋_GB2312" w:cs="Times New Roman"/>
          <w:sz w:val="32"/>
          <w:szCs w:val="32"/>
          <w:highlight w:val="none"/>
          <w:lang w:val="en-US" w:eastAsia="zh-CN"/>
        </w:rPr>
        <w:t>产生的间接</w:t>
      </w:r>
      <w:r>
        <w:rPr>
          <w:rFonts w:hint="eastAsia" w:ascii="Times New Roman" w:hAnsi="Times New Roman" w:eastAsia="仿宋_GB2312" w:cs="Times New Roman"/>
          <w:sz w:val="32"/>
          <w:szCs w:val="32"/>
          <w:highlight w:val="none"/>
          <w:lang w:eastAsia="zh-CN"/>
        </w:rPr>
        <w:t>冷却水</w:t>
      </w:r>
      <w:r>
        <w:rPr>
          <w:rFonts w:hint="eastAsia" w:ascii="Times New Roman" w:hAnsi="Times New Roman" w:eastAsia="仿宋_GB2312" w:cs="Times New Roman"/>
          <w:sz w:val="32"/>
          <w:szCs w:val="32"/>
          <w:highlight w:val="none"/>
          <w:lang w:val="en-US" w:eastAsia="zh-CN"/>
        </w:rPr>
        <w:t>经站内冷却水塔降温后，回用于冷却循环系统不外排。生活污水排入防渗旱厕，定期清掏用于制农肥。</w:t>
      </w:r>
    </w:p>
    <w:p w14:paraId="6B09B18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）运营期须选用低噪声设备，并针对高噪声设备采取有效的减振降噪措施，确保厂界噪声满足《工业企业厂界环境噪声排放标准》(GB12348-2008)中1类区标准要求。</w:t>
      </w:r>
    </w:p>
    <w:p w14:paraId="056B5BDE">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lang w:eastAsia="zh-CN"/>
        </w:rPr>
        <w:t>）废机油、含油抹布和废变压器油属于危险废物，须暂存于危险废物暂存间内，定期委托有危险废物处理资质的单位进行处理。</w:t>
      </w:r>
      <w:r>
        <w:rPr>
          <w:rFonts w:hint="eastAsia" w:ascii="Times New Roman" w:hAnsi="Times New Roman" w:eastAsia="仿宋_GB2312" w:cs="Times New Roman"/>
          <w:sz w:val="32"/>
          <w:szCs w:val="32"/>
          <w:highlight w:val="none"/>
          <w:lang w:val="en-US" w:eastAsia="zh-CN"/>
        </w:rPr>
        <w:t>规范设置</w:t>
      </w:r>
      <w:r>
        <w:rPr>
          <w:rFonts w:hint="eastAsia" w:ascii="Times New Roman" w:hAnsi="Times New Roman" w:eastAsia="仿宋_GB2312" w:cs="Times New Roman"/>
          <w:sz w:val="32"/>
          <w:szCs w:val="32"/>
          <w:highlight w:val="none"/>
          <w:lang w:eastAsia="zh-CN"/>
        </w:rPr>
        <w:t>危废暂存间，同时建立</w:t>
      </w:r>
      <w:r>
        <w:rPr>
          <w:rFonts w:hint="eastAsia" w:ascii="Times New Roman" w:hAnsi="Times New Roman" w:eastAsia="仿宋_GB2312" w:cs="Times New Roman"/>
          <w:sz w:val="32"/>
          <w:szCs w:val="32"/>
          <w:highlight w:val="none"/>
          <w:lang w:val="en-US" w:eastAsia="zh-CN"/>
        </w:rPr>
        <w:t>管理</w:t>
      </w:r>
      <w:r>
        <w:rPr>
          <w:rFonts w:hint="eastAsia" w:ascii="Times New Roman" w:hAnsi="Times New Roman" w:eastAsia="仿宋_GB2312" w:cs="Times New Roman"/>
          <w:sz w:val="32"/>
          <w:szCs w:val="32"/>
          <w:highlight w:val="none"/>
          <w:lang w:eastAsia="zh-CN"/>
        </w:rPr>
        <w:t>台账及设立标识标牌。危险废物在贮</w:t>
      </w:r>
      <w:r>
        <w:rPr>
          <w:rFonts w:hint="eastAsia" w:ascii="Times New Roman" w:hAnsi="Times New Roman" w:eastAsia="仿宋_GB2312" w:cs="Times New Roman"/>
          <w:sz w:val="32"/>
          <w:szCs w:val="32"/>
          <w:lang w:eastAsia="zh-CN"/>
        </w:rPr>
        <w:t>存、转移、运输过程中应严格执行《危险废物贮存污染控制标准》(GB18597-2023)、《危险废物转移管理办法》《吉林省危险废物污染环境防治条例》及有关危险货物运输管理要求，</w:t>
      </w:r>
      <w:r>
        <w:rPr>
          <w:rFonts w:hint="eastAsia" w:ascii="Times New Roman" w:hAnsi="Times New Roman" w:eastAsia="仿宋_GB2312" w:cs="Times New Roman"/>
          <w:sz w:val="32"/>
          <w:szCs w:val="32"/>
          <w:lang w:val="en-US" w:eastAsia="zh-CN"/>
        </w:rPr>
        <w:t>避免产生二次污染</w:t>
      </w:r>
      <w:r>
        <w:rPr>
          <w:rFonts w:hint="eastAsia" w:ascii="Times New Roman" w:hAnsi="Times New Roman" w:eastAsia="仿宋_GB2312" w:cs="Times New Roman"/>
          <w:sz w:val="32"/>
          <w:szCs w:val="32"/>
          <w:lang w:eastAsia="zh-CN"/>
        </w:rPr>
        <w:t>。格栅打捞物、生活垃圾须集中收集，由市政环卫部门统一清运。</w:t>
      </w:r>
    </w:p>
    <w:p w14:paraId="0722B461">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九</w:t>
      </w:r>
      <w:r>
        <w:rPr>
          <w:rFonts w:hint="eastAsia" w:ascii="Times New Roman" w:hAnsi="Times New Roman" w:eastAsia="仿宋_GB2312" w:cs="Times New Roman"/>
          <w:sz w:val="32"/>
          <w:szCs w:val="32"/>
          <w:lang w:eastAsia="zh-CN"/>
        </w:rPr>
        <w:t>）合理进行厂区总平面布局，在可能发生爆炸/火灾的场所内安装消防装置及报警装置；加强对厂区和水库坝体的日常巡视，发现险情及时排除；建立环境风险防控体系，设置足够容积的变压器事故油池；加强员工的环境风险防范意识，定期进行安全隐患排查，制定突发环境事件应急预案，在当地生态环境部门和有关部门备案，并开展经常性演练等，防止发生环境风险事故。</w:t>
      </w:r>
    </w:p>
    <w:p w14:paraId="6601903E">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十</w:t>
      </w:r>
      <w:r>
        <w:rPr>
          <w:rFonts w:hint="eastAsia" w:ascii="Times New Roman" w:hAnsi="Times New Roman" w:eastAsia="仿宋_GB2312" w:cs="Times New Roman"/>
          <w:sz w:val="32"/>
          <w:szCs w:val="32"/>
          <w:lang w:eastAsia="zh-CN"/>
        </w:rPr>
        <w:t>）严格落实环评文件提出的环境监测计划，定期委托有资质的监测机构对产生的噪声进行监测，并对区域地下水、生态、土壤等开展长期跟踪监测。发现问题和超标现象，应及时采取整改措施，确保噪声达标排放，降低对区域生态环境的不利影响。</w:t>
      </w:r>
    </w:p>
    <w:p w14:paraId="7EFD8D1A">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十一</w:t>
      </w:r>
      <w:r>
        <w:rPr>
          <w:rFonts w:hint="eastAsia" w:ascii="Times New Roman" w:hAnsi="Times New Roman" w:eastAsia="仿宋_GB2312" w:cs="Times New Roman"/>
          <w:sz w:val="32"/>
          <w:szCs w:val="32"/>
          <w:lang w:eastAsia="zh-CN"/>
        </w:rPr>
        <w:t>）建设单位应依据《建设项目环境影响后评价管理办法（试行）》（环境保护部第37号令）中相关要求开展环境影响后评价。</w:t>
      </w:r>
    </w:p>
    <w:p w14:paraId="165EBB78">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三、</w:t>
      </w:r>
      <w:r>
        <w:rPr>
          <w:rFonts w:hint="default" w:ascii="Times New Roman" w:hAnsi="Times New Roman" w:eastAsia="仿宋_GB2312" w:cs="Times New Roman"/>
          <w:sz w:val="32"/>
          <w:szCs w:val="32"/>
        </w:rPr>
        <w:t>项目建设必须严格执行环境保护设施与主体工程同时设计、同时施工、同时投产使用的环境保护“三同时”制度。项目竣工后须按照相关法律法规及生态环境部规定的标准和程序对建设项目配套建设的环境保护设施进行验收并依法公开验收报告。</w:t>
      </w:r>
    </w:p>
    <w:p w14:paraId="26752A68">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四、</w:t>
      </w:r>
      <w:r>
        <w:rPr>
          <w:rFonts w:hint="default" w:ascii="Times New Roman" w:hAnsi="Times New Roman" w:eastAsia="仿宋_GB2312" w:cs="Times New Roman"/>
          <w:sz w:val="32"/>
          <w:szCs w:val="32"/>
        </w:rPr>
        <w:t>环境影响报告</w:t>
      </w:r>
      <w:r>
        <w:rPr>
          <w:rFonts w:hint="default" w:ascii="Times New Roman" w:hAnsi="Times New Roman" w:eastAsia="仿宋_GB2312" w:cs="Times New Roman"/>
          <w:sz w:val="32"/>
          <w:szCs w:val="32"/>
          <w:lang w:val="en-US" w:eastAsia="zh-CN"/>
        </w:rPr>
        <w:t>书</w:t>
      </w:r>
      <w:r>
        <w:rPr>
          <w:rFonts w:hint="default" w:ascii="Times New Roman" w:hAnsi="Times New Roman" w:eastAsia="仿宋_GB2312" w:cs="Times New Roman"/>
          <w:sz w:val="32"/>
          <w:szCs w:val="32"/>
        </w:rPr>
        <w:t>经批准后，项目的性质、规模、工艺、地点或者防止生态破坏、防治污染的措施发生重大变动的，应当在变动前重新报批该项目的环境影响报告表。建设项目环境影响报告表自批复之日起满5年，建设项目方决定开工建设的，其环境影响报告表应当报我</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 xml:space="preserve">重新审核。 </w:t>
      </w:r>
    </w:p>
    <w:p w14:paraId="26CA5AD5">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五、</w:t>
      </w:r>
      <w:r>
        <w:rPr>
          <w:rFonts w:hint="default" w:ascii="Times New Roman" w:hAnsi="Times New Roman" w:eastAsia="仿宋_GB2312" w:cs="Times New Roman"/>
          <w:sz w:val="32"/>
          <w:szCs w:val="32"/>
        </w:rPr>
        <w:t>你单位作为建设项目环评信息公开的主体，在该项目运行过程中，应建立畅通的公众参与平台，及时解决公众关注的环境问题，满足公众合理的环境诉求。应按照《建设项目环境影响评价信息公开机制方案》相关规定，向社会公开相应的环境影响评价信息，主动接受社会监督。</w:t>
      </w:r>
    </w:p>
    <w:p w14:paraId="1D6F7B2B">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六、</w:t>
      </w:r>
      <w:r>
        <w:rPr>
          <w:rFonts w:hint="default" w:ascii="Times New Roman" w:hAnsi="Times New Roman" w:eastAsia="仿宋_GB2312" w:cs="Times New Roman"/>
          <w:sz w:val="32"/>
          <w:szCs w:val="32"/>
        </w:rPr>
        <w:t>请</w:t>
      </w:r>
      <w:r>
        <w:rPr>
          <w:rFonts w:hint="default" w:ascii="Times New Roman" w:hAnsi="Times New Roman" w:eastAsia="仿宋_GB2312" w:cs="Times New Roman"/>
          <w:sz w:val="32"/>
          <w:szCs w:val="32"/>
          <w:lang w:val="en-US" w:eastAsia="zh-CN"/>
        </w:rPr>
        <w:t>通化</w:t>
      </w:r>
      <w:r>
        <w:rPr>
          <w:rFonts w:hint="default" w:ascii="Times New Roman" w:hAnsi="Times New Roman" w:eastAsia="仿宋_GB2312" w:cs="Times New Roman"/>
          <w:sz w:val="32"/>
          <w:szCs w:val="32"/>
        </w:rPr>
        <w:t>市生态环境局</w:t>
      </w:r>
      <w:r>
        <w:rPr>
          <w:rFonts w:hint="default" w:ascii="Times New Roman" w:hAnsi="Times New Roman" w:eastAsia="仿宋_GB2312" w:cs="Times New Roman"/>
          <w:sz w:val="32"/>
          <w:szCs w:val="32"/>
          <w:lang w:val="en-US" w:eastAsia="zh-CN"/>
        </w:rPr>
        <w:t>集安市分局</w:t>
      </w:r>
      <w:r>
        <w:rPr>
          <w:rFonts w:hint="default" w:ascii="Times New Roman" w:hAnsi="Times New Roman" w:eastAsia="仿宋_GB2312" w:cs="Times New Roman"/>
          <w:sz w:val="32"/>
          <w:szCs w:val="32"/>
        </w:rPr>
        <w:t>负责该项目</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监督检查和环境管理工作。</w:t>
      </w:r>
    </w:p>
    <w:p w14:paraId="6DE18EA1">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w:t>
      </w:r>
      <w:r>
        <w:rPr>
          <w:rFonts w:hint="default" w:ascii="Times New Roman" w:hAnsi="Times New Roman" w:eastAsia="仿宋_GB2312" w:cs="Times New Roman"/>
          <w:sz w:val="32"/>
          <w:szCs w:val="32"/>
        </w:rPr>
        <w:t>你单位应在收到本批复后20个工作日内，将批准后的环境影响报告表及批复文件送至</w:t>
      </w:r>
      <w:r>
        <w:rPr>
          <w:rFonts w:hint="default" w:ascii="Times New Roman" w:hAnsi="Times New Roman" w:eastAsia="仿宋_GB2312" w:cs="Times New Roman"/>
          <w:sz w:val="32"/>
          <w:szCs w:val="32"/>
          <w:lang w:val="en-US" w:eastAsia="zh-CN"/>
        </w:rPr>
        <w:t>通化市</w:t>
      </w:r>
      <w:r>
        <w:rPr>
          <w:rFonts w:hint="default" w:ascii="Times New Roman" w:hAnsi="Times New Roman" w:eastAsia="仿宋_GB2312" w:cs="Times New Roman"/>
          <w:sz w:val="32"/>
          <w:szCs w:val="32"/>
        </w:rPr>
        <w:t>生态环境局</w:t>
      </w:r>
      <w:r>
        <w:rPr>
          <w:rFonts w:hint="default" w:ascii="Times New Roman" w:hAnsi="Times New Roman" w:eastAsia="仿宋_GB2312" w:cs="Times New Roman"/>
          <w:sz w:val="32"/>
          <w:szCs w:val="32"/>
          <w:lang w:val="en-US" w:eastAsia="zh-CN"/>
        </w:rPr>
        <w:t>集安市分局</w:t>
      </w:r>
      <w:r>
        <w:rPr>
          <w:rFonts w:hint="default" w:ascii="Times New Roman" w:hAnsi="Times New Roman" w:eastAsia="仿宋_GB2312" w:cs="Times New Roman"/>
          <w:sz w:val="32"/>
          <w:szCs w:val="32"/>
        </w:rPr>
        <w:t>，并按规定接受各级生态环境主管部门的日常监督检查。</w:t>
      </w:r>
    </w:p>
    <w:p w14:paraId="0F902F81">
      <w:pPr>
        <w:pStyle w:val="3"/>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仿宋_GB2312" w:cs="Times New Roman"/>
          <w:sz w:val="32"/>
          <w:szCs w:val="32"/>
        </w:rPr>
      </w:pPr>
    </w:p>
    <w:p w14:paraId="08B876DA">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仿宋_GB2312" w:cs="Times New Roman"/>
          <w:sz w:val="32"/>
          <w:szCs w:val="32"/>
        </w:rPr>
      </w:pPr>
    </w:p>
    <w:p w14:paraId="6ACB65B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2A352C95">
      <w:pPr>
        <w:keepNext w:val="0"/>
        <w:keepLines w:val="0"/>
        <w:pageBreakBefore w:val="0"/>
        <w:widowControl w:val="0"/>
        <w:kinsoku/>
        <w:wordWrap/>
        <w:overflowPunct/>
        <w:topLinePunct w:val="0"/>
        <w:autoSpaceDE/>
        <w:autoSpaceDN/>
        <w:bidi w:val="0"/>
        <w:adjustRightInd/>
        <w:snapToGrid/>
        <w:spacing w:line="576" w:lineRule="exact"/>
        <w:ind w:firstLine="4803" w:firstLineChars="1501"/>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通化市生态环境局</w:t>
      </w:r>
    </w:p>
    <w:p w14:paraId="34C98856">
      <w:pPr>
        <w:keepNext w:val="0"/>
        <w:keepLines w:val="0"/>
        <w:pageBreakBefore w:val="0"/>
        <w:widowControl w:val="0"/>
        <w:kinsoku/>
        <w:wordWrap/>
        <w:overflowPunct/>
        <w:topLinePunct w:val="0"/>
        <w:autoSpaceDE/>
        <w:autoSpaceDN/>
        <w:bidi w:val="0"/>
        <w:adjustRightInd/>
        <w:snapToGrid/>
        <w:spacing w:line="576" w:lineRule="exact"/>
        <w:ind w:firstLine="4803" w:firstLineChars="1501"/>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2026年4月1</w:t>
      </w:r>
      <w:r>
        <w:rPr>
          <w:rFonts w:hint="eastAsia" w:ascii="Times New Roman" w:hAnsi="Times New Roman" w:eastAsia="仿宋_GB2312" w:cs="Times New Roman"/>
          <w:sz w:val="32"/>
          <w:szCs w:val="32"/>
          <w:lang w:val="en-US" w:eastAsia="zh-CN"/>
        </w:rPr>
        <w:t>7</w:t>
      </w:r>
      <w:bookmarkStart w:id="0" w:name="_GoBack"/>
      <w:bookmarkEnd w:id="0"/>
      <w:r>
        <w:rPr>
          <w:rFonts w:hint="default" w:ascii="Times New Roman" w:hAnsi="Times New Roman" w:eastAsia="仿宋_GB2312" w:cs="Times New Roman"/>
          <w:sz w:val="32"/>
          <w:szCs w:val="32"/>
          <w:lang w:val="en-US" w:eastAsia="zh-CN"/>
        </w:rPr>
        <w:t>日</w:t>
      </w:r>
    </w:p>
    <w:p w14:paraId="35A2300C">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sectPr>
      <w:footerReference r:id="rId3" w:type="default"/>
      <w:pgSz w:w="11906" w:h="16838"/>
      <w:pgMar w:top="1418" w:right="1531" w:bottom="113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B855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2F63F">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02F63F">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020CF"/>
    <w:rsid w:val="020531A4"/>
    <w:rsid w:val="0341020B"/>
    <w:rsid w:val="03A05D2D"/>
    <w:rsid w:val="03A5079A"/>
    <w:rsid w:val="04D035F5"/>
    <w:rsid w:val="058C1C12"/>
    <w:rsid w:val="05962A91"/>
    <w:rsid w:val="05E324B6"/>
    <w:rsid w:val="07397B77"/>
    <w:rsid w:val="07B93A96"/>
    <w:rsid w:val="0949606C"/>
    <w:rsid w:val="0A7B04A7"/>
    <w:rsid w:val="0AB061A6"/>
    <w:rsid w:val="0B696551"/>
    <w:rsid w:val="0C8B7C21"/>
    <w:rsid w:val="0CEB1914"/>
    <w:rsid w:val="0D643474"/>
    <w:rsid w:val="0E664FCA"/>
    <w:rsid w:val="0EF12AE6"/>
    <w:rsid w:val="0F9D2C6D"/>
    <w:rsid w:val="0FDC19E8"/>
    <w:rsid w:val="109020CF"/>
    <w:rsid w:val="138A3509"/>
    <w:rsid w:val="15671D54"/>
    <w:rsid w:val="15CA22E2"/>
    <w:rsid w:val="16104199"/>
    <w:rsid w:val="17214184"/>
    <w:rsid w:val="17F13B56"/>
    <w:rsid w:val="18583BD5"/>
    <w:rsid w:val="187D363C"/>
    <w:rsid w:val="1AF52032"/>
    <w:rsid w:val="1D5102B1"/>
    <w:rsid w:val="1E3E386E"/>
    <w:rsid w:val="1E6E4D59"/>
    <w:rsid w:val="1E831280"/>
    <w:rsid w:val="1F596B0E"/>
    <w:rsid w:val="1F814123"/>
    <w:rsid w:val="1F933745"/>
    <w:rsid w:val="1FBC2C9C"/>
    <w:rsid w:val="2031368A"/>
    <w:rsid w:val="20B87907"/>
    <w:rsid w:val="217D645B"/>
    <w:rsid w:val="21B91B1C"/>
    <w:rsid w:val="23FE7D27"/>
    <w:rsid w:val="24CD76F9"/>
    <w:rsid w:val="25407ECB"/>
    <w:rsid w:val="26443D24"/>
    <w:rsid w:val="26812549"/>
    <w:rsid w:val="268E625F"/>
    <w:rsid w:val="276D1712"/>
    <w:rsid w:val="2A9211C9"/>
    <w:rsid w:val="2B285689"/>
    <w:rsid w:val="2B3E4EAD"/>
    <w:rsid w:val="2C332538"/>
    <w:rsid w:val="2CB27900"/>
    <w:rsid w:val="2D393B7E"/>
    <w:rsid w:val="304F5466"/>
    <w:rsid w:val="30C3032E"/>
    <w:rsid w:val="31772EC7"/>
    <w:rsid w:val="322C1F03"/>
    <w:rsid w:val="324A4137"/>
    <w:rsid w:val="34AA5361"/>
    <w:rsid w:val="35215623"/>
    <w:rsid w:val="37E66DC3"/>
    <w:rsid w:val="3814146F"/>
    <w:rsid w:val="389B393F"/>
    <w:rsid w:val="39316308"/>
    <w:rsid w:val="3986639D"/>
    <w:rsid w:val="3C017F5D"/>
    <w:rsid w:val="3CA60B04"/>
    <w:rsid w:val="3D5F13DF"/>
    <w:rsid w:val="3E495BEB"/>
    <w:rsid w:val="3E6B29EB"/>
    <w:rsid w:val="40095632"/>
    <w:rsid w:val="403A57EB"/>
    <w:rsid w:val="422E7534"/>
    <w:rsid w:val="423170C2"/>
    <w:rsid w:val="42A203F3"/>
    <w:rsid w:val="4416031D"/>
    <w:rsid w:val="44F468B0"/>
    <w:rsid w:val="4570474C"/>
    <w:rsid w:val="458D0AB3"/>
    <w:rsid w:val="45C1250B"/>
    <w:rsid w:val="469F1403"/>
    <w:rsid w:val="471072A6"/>
    <w:rsid w:val="47BC11DC"/>
    <w:rsid w:val="48714FA4"/>
    <w:rsid w:val="487F0B87"/>
    <w:rsid w:val="488241D3"/>
    <w:rsid w:val="48904B42"/>
    <w:rsid w:val="49635DB3"/>
    <w:rsid w:val="4BAA4BA0"/>
    <w:rsid w:val="4C431ECB"/>
    <w:rsid w:val="4CE52F83"/>
    <w:rsid w:val="4EF83441"/>
    <w:rsid w:val="4F21041D"/>
    <w:rsid w:val="4FD92E63"/>
    <w:rsid w:val="51D81308"/>
    <w:rsid w:val="526112FD"/>
    <w:rsid w:val="53004672"/>
    <w:rsid w:val="54C70857"/>
    <w:rsid w:val="55284354"/>
    <w:rsid w:val="56336B0D"/>
    <w:rsid w:val="56865EF2"/>
    <w:rsid w:val="595B6AA6"/>
    <w:rsid w:val="5A7D2A4C"/>
    <w:rsid w:val="5B215ACE"/>
    <w:rsid w:val="5D4F7BF2"/>
    <w:rsid w:val="5F182D44"/>
    <w:rsid w:val="5F473629"/>
    <w:rsid w:val="603B13E0"/>
    <w:rsid w:val="60545FFD"/>
    <w:rsid w:val="60EF5D26"/>
    <w:rsid w:val="65476131"/>
    <w:rsid w:val="658D448B"/>
    <w:rsid w:val="67E1461B"/>
    <w:rsid w:val="68150768"/>
    <w:rsid w:val="69813D2E"/>
    <w:rsid w:val="6A331379"/>
    <w:rsid w:val="6A4946F9"/>
    <w:rsid w:val="6B035252"/>
    <w:rsid w:val="6BAF2C82"/>
    <w:rsid w:val="6BC009EB"/>
    <w:rsid w:val="6D9E29F3"/>
    <w:rsid w:val="6DC347C2"/>
    <w:rsid w:val="6ECD58F9"/>
    <w:rsid w:val="6EDB5CDE"/>
    <w:rsid w:val="742C4ED3"/>
    <w:rsid w:val="74620891"/>
    <w:rsid w:val="74C7103C"/>
    <w:rsid w:val="754D1541"/>
    <w:rsid w:val="795F5CE7"/>
    <w:rsid w:val="79B53B59"/>
    <w:rsid w:val="79E76C84"/>
    <w:rsid w:val="7DA36E89"/>
    <w:rsid w:val="7EF742CC"/>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widowControl/>
      <w:snapToGrid w:val="0"/>
      <w:spacing w:before="60" w:after="160" w:line="259" w:lineRule="auto"/>
      <w:ind w:right="113"/>
    </w:pPr>
    <w:rPr>
      <w:kern w:val="0"/>
      <w:sz w:val="18"/>
      <w:szCs w:val="20"/>
    </w:rPr>
  </w:style>
  <w:style w:type="paragraph" w:styleId="3">
    <w:name w:val="toc 1"/>
    <w:basedOn w:val="1"/>
    <w:next w:val="1"/>
    <w:qFormat/>
    <w:uiPriority w:val="1"/>
    <w:rPr>
      <w:szCs w:val="24"/>
    </w:rPr>
  </w:style>
  <w:style w:type="paragraph" w:styleId="4">
    <w:name w:val="Body Text Indent"/>
    <w:basedOn w:val="1"/>
    <w:unhideWhenUsed/>
    <w:qFormat/>
    <w:uiPriority w:val="0"/>
    <w:pPr>
      <w:tabs>
        <w:tab w:val="left" w:pos="4095"/>
      </w:tabs>
      <w:topLinePunct/>
      <w:adjustRightInd w:val="0"/>
      <w:snapToGrid w:val="0"/>
      <w:spacing w:after="120"/>
      <w:ind w:left="420" w:leftChars="200"/>
      <w:jc w:val="left"/>
    </w:pPr>
    <w:rPr>
      <w:rFonts w:ascii="Times New Roman" w:hAnsi="Times New Roman"/>
      <w:color w:val="000000"/>
      <w:szCs w:val="24"/>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4"/>
    <w:next w:val="1"/>
    <w:qFormat/>
    <w:uiPriority w:val="0"/>
    <w:pPr>
      <w:topLinePunct w:val="0"/>
      <w:adjustRightInd/>
      <w:snapToGrid/>
      <w:ind w:firstLine="420"/>
      <w:jc w:val="both"/>
    </w:pPr>
    <w:rPr>
      <w:rFonts w:ascii="宋体" w:hAnsi="宋体"/>
      <w:szCs w:val="21"/>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nhideWhenUsed/>
    <w:qFormat/>
    <w:uiPriority w:val="99"/>
    <w:rPr>
      <w:sz w:val="21"/>
      <w:szCs w:val="21"/>
    </w:rPr>
  </w:style>
  <w:style w:type="paragraph" w:customStyle="1" w:styleId="12">
    <w:name w:val="DM正文"/>
    <w:basedOn w:val="1"/>
    <w:qFormat/>
    <w:uiPriority w:val="3"/>
    <w:pPr>
      <w:spacing w:line="360" w:lineRule="auto"/>
      <w:ind w:firstLine="200" w:firstLineChars="200"/>
    </w:pPr>
    <w:rPr>
      <w:rFonts w:eastAsiaTheme="minorEastAsia" w:cstheme="minorBidi"/>
      <w:sz w:val="24"/>
    </w:rPr>
  </w:style>
  <w:style w:type="paragraph" w:customStyle="1" w:styleId="13">
    <w:name w:val="评估意见正文内容"/>
    <w:basedOn w:val="1"/>
    <w:qFormat/>
    <w:uiPriority w:val="0"/>
    <w:pPr>
      <w:spacing w:line="360" w:lineRule="auto"/>
      <w:ind w:firstLine="640" w:firstLineChars="200"/>
    </w:pPr>
    <w:rPr>
      <w:rFonts w:ascii="仿宋_GB2312" w:hAnsi="宋体" w:eastAsia="仿宋_GB2312"/>
      <w:bCs/>
      <w:sz w:val="32"/>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2675</Words>
  <Characters>2804</Characters>
  <Lines>0</Lines>
  <Paragraphs>0</Paragraphs>
  <TotalTime>4</TotalTime>
  <ScaleCrop>false</ScaleCrop>
  <LinksUpToDate>false</LinksUpToDate>
  <CharactersWithSpaces>2811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2024-11-21T00:35:00Z</dcterms:created>
  <dc:creator>随遇而安</dc:creator>
  <cp:lastModifiedBy>随遇而安</cp:lastModifiedBy>
  <cp:lastPrinted>2026-04-07T07:20:00Z</cp:lastPrinted>
  <dcterms:modified xsi:type="dcterms:W3CDTF">2026-04-09T01:16:47Z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A0A4A93883CF4A729A896B2A6AA42798_13</vt:lpwstr>
  </property>
  <property fmtid="{D5CDD505-2E9C-101B-9397-08002B2CF9AE}" pid="4" name="KSOTemplateDocerSaveRecord">
    <vt:lpwstr>eyJoZGlkIjoiZTk0ZjNhNjFmYzAwMjYyMTU5NmZlYzQzMzY3OWNhZWYiLCJ1c2VySWQiOiIzMzk5MDA5MzEifQ==</vt:lpwstr>
  </property>
</Properties>
</file>